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1B" w:rsidRPr="00832146" w:rsidRDefault="00C2081B" w:rsidP="003F12E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146">
        <w:rPr>
          <w:rFonts w:ascii="Times New Roman" w:hAnsi="Times New Roman" w:cs="Times New Roman"/>
          <w:b/>
          <w:sz w:val="32"/>
          <w:szCs w:val="32"/>
        </w:rPr>
        <w:t>Az Országos Kompetenciamérés intézményi eredményeinek összehasonlító elemzése és a tanulói teljesítmények növelésének lehetőségei</w:t>
      </w:r>
    </w:p>
    <w:p w:rsidR="00044802" w:rsidRPr="00E86B96" w:rsidRDefault="00C2081B" w:rsidP="00825082">
      <w:pPr>
        <w:pStyle w:val="Listaszerbekezds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86B96">
        <w:rPr>
          <w:rFonts w:ascii="Times New Roman" w:hAnsi="Times New Roman" w:cs="Times New Roman"/>
          <w:b/>
          <w:sz w:val="28"/>
          <w:szCs w:val="28"/>
        </w:rPr>
        <w:t xml:space="preserve">Az Országos Kompetenciamérés eredményeinek </w:t>
      </w:r>
      <w:r w:rsidR="00E86B96">
        <w:rPr>
          <w:rFonts w:ascii="Times New Roman" w:hAnsi="Times New Roman" w:cs="Times New Roman"/>
          <w:b/>
          <w:sz w:val="28"/>
          <w:szCs w:val="28"/>
        </w:rPr>
        <w:t>elemzése</w:t>
      </w:r>
      <w:r w:rsidR="00EA1F20" w:rsidRPr="00E86B96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E91382">
        <w:rPr>
          <w:rFonts w:ascii="Times New Roman" w:hAnsi="Times New Roman" w:cs="Times New Roman"/>
          <w:b/>
          <w:sz w:val="28"/>
          <w:szCs w:val="28"/>
        </w:rPr>
        <w:t>1</w:t>
      </w:r>
      <w:r w:rsidR="00EA1F20" w:rsidRPr="00E86B96">
        <w:rPr>
          <w:rFonts w:ascii="Times New Roman" w:hAnsi="Times New Roman" w:cs="Times New Roman"/>
          <w:b/>
          <w:sz w:val="28"/>
          <w:szCs w:val="28"/>
        </w:rPr>
        <w:t>-201</w:t>
      </w:r>
      <w:r w:rsidR="00E91382">
        <w:rPr>
          <w:rFonts w:ascii="Times New Roman" w:hAnsi="Times New Roman" w:cs="Times New Roman"/>
          <w:b/>
          <w:sz w:val="28"/>
          <w:szCs w:val="28"/>
        </w:rPr>
        <w:t>4</w:t>
      </w:r>
      <w:r w:rsidR="00EA1F20" w:rsidRPr="00E86B96">
        <w:rPr>
          <w:rFonts w:ascii="Times New Roman" w:hAnsi="Times New Roman" w:cs="Times New Roman"/>
          <w:b/>
          <w:sz w:val="28"/>
          <w:szCs w:val="28"/>
        </w:rPr>
        <w:t>)</w:t>
      </w:r>
    </w:p>
    <w:p w:rsidR="00044802" w:rsidRPr="00825082" w:rsidRDefault="00044802" w:rsidP="00E36D58">
      <w:pPr>
        <w:pStyle w:val="Listaszerbekezds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3D35" w:rsidRDefault="00044802" w:rsidP="00AF5CF3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82">
        <w:rPr>
          <w:rFonts w:ascii="Times New Roman" w:hAnsi="Times New Roman" w:cs="Times New Roman"/>
          <w:sz w:val="24"/>
          <w:szCs w:val="24"/>
        </w:rPr>
        <w:t xml:space="preserve">A kompetenciamérés célja annak felmérése, hogy a tanulók képesek-e matematikai eszköztudásukat és szövegértési képességeiket a hétköznapi életben alkalmazni. A felmérés tesztjei alapvetően nem a tantervi követelmények teljesítésére, hanem </w:t>
      </w:r>
      <w:r w:rsidR="00DF3017">
        <w:rPr>
          <w:rFonts w:ascii="Times New Roman" w:hAnsi="Times New Roman" w:cs="Times New Roman"/>
          <w:sz w:val="24"/>
          <w:szCs w:val="24"/>
        </w:rPr>
        <w:t>gyakorlati</w:t>
      </w:r>
      <w:r w:rsidRPr="00825082">
        <w:rPr>
          <w:rFonts w:ascii="Times New Roman" w:hAnsi="Times New Roman" w:cs="Times New Roman"/>
          <w:sz w:val="24"/>
          <w:szCs w:val="24"/>
        </w:rPr>
        <w:t xml:space="preserve"> problémák, helyzetek megoldására irányulnak.</w:t>
      </w:r>
      <w:r w:rsidR="00D95E19" w:rsidRPr="00825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E19" w:rsidRDefault="00D95E19" w:rsidP="00AF5CF3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82">
        <w:rPr>
          <w:rFonts w:ascii="Times New Roman" w:hAnsi="Times New Roman" w:cs="Times New Roman"/>
          <w:sz w:val="24"/>
          <w:szCs w:val="24"/>
        </w:rPr>
        <w:t xml:space="preserve">A </w:t>
      </w:r>
      <w:r w:rsidR="008215CA">
        <w:rPr>
          <w:rFonts w:ascii="Times New Roman" w:hAnsi="Times New Roman" w:cs="Times New Roman"/>
          <w:sz w:val="24"/>
          <w:szCs w:val="24"/>
        </w:rPr>
        <w:t xml:space="preserve">Kecskeméti </w:t>
      </w:r>
      <w:r w:rsidRPr="00825082">
        <w:rPr>
          <w:rFonts w:ascii="Times New Roman" w:hAnsi="Times New Roman" w:cs="Times New Roman"/>
          <w:sz w:val="24"/>
          <w:szCs w:val="24"/>
        </w:rPr>
        <w:t xml:space="preserve">Katona József Gimnázium tanulói a tantervi követelményeket magas szinten teljesítik, ezt bizonyítják a kiemelkedő felsőoktatási felvételi eredmények és a tanulmányi versenyeken elért eredmények. </w:t>
      </w:r>
      <w:r w:rsidRPr="00633931">
        <w:rPr>
          <w:rFonts w:ascii="Times New Roman" w:hAnsi="Times New Roman" w:cs="Times New Roman"/>
          <w:b/>
          <w:sz w:val="24"/>
          <w:szCs w:val="24"/>
        </w:rPr>
        <w:t>Iskolánk tanulói messze az országos átlag felett teljesítenek a kompetenciamérések során</w:t>
      </w:r>
      <w:r w:rsidRPr="00825082">
        <w:rPr>
          <w:rFonts w:ascii="Times New Roman" w:hAnsi="Times New Roman" w:cs="Times New Roman"/>
          <w:sz w:val="24"/>
          <w:szCs w:val="24"/>
        </w:rPr>
        <w:t xml:space="preserve"> is.</w:t>
      </w:r>
      <w:r w:rsidR="004863ED" w:rsidRPr="00825082">
        <w:rPr>
          <w:rFonts w:ascii="Times New Roman" w:hAnsi="Times New Roman" w:cs="Times New Roman"/>
          <w:sz w:val="24"/>
          <w:szCs w:val="24"/>
        </w:rPr>
        <w:t xml:space="preserve"> Elemzésünkben a 201</w:t>
      </w:r>
      <w:r w:rsidR="006F7379">
        <w:rPr>
          <w:rFonts w:ascii="Times New Roman" w:hAnsi="Times New Roman" w:cs="Times New Roman"/>
          <w:sz w:val="24"/>
          <w:szCs w:val="24"/>
        </w:rPr>
        <w:t>1</w:t>
      </w:r>
      <w:r w:rsidR="004863ED" w:rsidRPr="00825082">
        <w:rPr>
          <w:rFonts w:ascii="Times New Roman" w:hAnsi="Times New Roman" w:cs="Times New Roman"/>
          <w:sz w:val="24"/>
          <w:szCs w:val="24"/>
        </w:rPr>
        <w:t>-201</w:t>
      </w:r>
      <w:r w:rsidR="006F7379">
        <w:rPr>
          <w:rFonts w:ascii="Times New Roman" w:hAnsi="Times New Roman" w:cs="Times New Roman"/>
          <w:sz w:val="24"/>
          <w:szCs w:val="24"/>
        </w:rPr>
        <w:t>4</w:t>
      </w:r>
      <w:r w:rsidR="004863ED" w:rsidRPr="00825082">
        <w:rPr>
          <w:rFonts w:ascii="Times New Roman" w:hAnsi="Times New Roman" w:cs="Times New Roman"/>
          <w:sz w:val="24"/>
          <w:szCs w:val="24"/>
        </w:rPr>
        <w:t xml:space="preserve"> közötti négy mérés eredményeit vizsgáljuk</w:t>
      </w:r>
      <w:r w:rsidR="008215CA">
        <w:rPr>
          <w:rFonts w:ascii="Times New Roman" w:hAnsi="Times New Roman" w:cs="Times New Roman"/>
          <w:sz w:val="24"/>
          <w:szCs w:val="24"/>
        </w:rPr>
        <w:t>.</w:t>
      </w:r>
      <w:r w:rsidR="00743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B96" w:rsidRDefault="00E86B96" w:rsidP="00E36D58">
      <w:pPr>
        <w:pStyle w:val="Listaszerbekezds"/>
        <w:spacing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CF3" w:rsidRDefault="00AF5CF3" w:rsidP="00E36D58">
      <w:pPr>
        <w:pStyle w:val="Listaszerbekezds"/>
        <w:spacing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D5" w:rsidRDefault="00E020BB" w:rsidP="004C4F00">
      <w:pPr>
        <w:pStyle w:val="Listaszerbekezds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Eredmények, é</w:t>
      </w:r>
      <w:r w:rsidR="00E86B96">
        <w:rPr>
          <w:rFonts w:ascii="Times New Roman" w:hAnsi="Times New Roman" w:cs="Times New Roman"/>
          <w:b/>
          <w:sz w:val="28"/>
          <w:szCs w:val="28"/>
        </w:rPr>
        <w:t xml:space="preserve">vfolyamok </w:t>
      </w:r>
      <w:r>
        <w:rPr>
          <w:rFonts w:ascii="Times New Roman" w:hAnsi="Times New Roman" w:cs="Times New Roman"/>
          <w:b/>
          <w:sz w:val="28"/>
          <w:szCs w:val="28"/>
        </w:rPr>
        <w:t>és mérési területek szerint</w:t>
      </w:r>
    </w:p>
    <w:p w:rsidR="007D2272" w:rsidRDefault="007D2272" w:rsidP="00E36D58">
      <w:pPr>
        <w:pStyle w:val="Listaszerbekezds"/>
        <w:spacing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0BB" w:rsidRPr="00E020BB" w:rsidRDefault="00E020BB" w:rsidP="00AF5CF3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elmúlt négy év kompetenciaméréseinek eredményeit az </w:t>
      </w:r>
      <w:r w:rsidRPr="00AF5CF3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AF5CF3">
        <w:rPr>
          <w:rFonts w:ascii="Times New Roman" w:hAnsi="Times New Roman" w:cs="Times New Roman"/>
          <w:i/>
          <w:sz w:val="24"/>
          <w:szCs w:val="24"/>
        </w:rPr>
        <w:t>2. táblázatban</w:t>
      </w:r>
      <w:r>
        <w:rPr>
          <w:rFonts w:ascii="Times New Roman" w:hAnsi="Times New Roman" w:cs="Times New Roman"/>
          <w:sz w:val="24"/>
          <w:szCs w:val="24"/>
        </w:rPr>
        <w:t xml:space="preserve"> foglaltuk össze.</w:t>
      </w:r>
    </w:p>
    <w:tbl>
      <w:tblPr>
        <w:tblW w:w="9142" w:type="dxa"/>
        <w:jc w:val="center"/>
        <w:tblCellMar>
          <w:left w:w="70" w:type="dxa"/>
          <w:right w:w="70" w:type="dxa"/>
        </w:tblCellMar>
        <w:tblLook w:val="04A0"/>
      </w:tblPr>
      <w:tblGrid>
        <w:gridCol w:w="1298"/>
        <w:gridCol w:w="695"/>
        <w:gridCol w:w="864"/>
        <w:gridCol w:w="851"/>
        <w:gridCol w:w="992"/>
        <w:gridCol w:w="851"/>
        <w:gridCol w:w="992"/>
        <w:gridCol w:w="850"/>
        <w:gridCol w:w="851"/>
        <w:gridCol w:w="898"/>
      </w:tblGrid>
      <w:tr w:rsidR="00E020BB" w:rsidRPr="00F445D5" w:rsidTr="00DB5BB3">
        <w:trPr>
          <w:trHeight w:val="405"/>
          <w:jc w:val="center"/>
        </w:trPr>
        <w:tc>
          <w:tcPr>
            <w:tcW w:w="91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0BB" w:rsidRPr="00F445D5" w:rsidRDefault="00E020BB" w:rsidP="00DB5B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F445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>1. táblázat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>: Évenkénti átlageredmények (intézményi és országos)</w:t>
            </w:r>
          </w:p>
        </w:tc>
      </w:tr>
      <w:tr w:rsidR="00E020BB" w:rsidRPr="00825082" w:rsidTr="00DB5BB3">
        <w:trPr>
          <w:trHeight w:val="454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mérési terület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évf.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</w:p>
        </w:tc>
      </w:tr>
      <w:tr w:rsidR="00E020BB" w:rsidRPr="00825082" w:rsidTr="00DB5BB3">
        <w:trPr>
          <w:trHeight w:val="454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</w:t>
            </w:r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</w:t>
            </w:r>
            <w:proofErr w:type="spellEnd"/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orsz</w:t>
            </w:r>
            <w:proofErr w:type="spellEnd"/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</w:t>
            </w:r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</w:t>
            </w:r>
            <w:proofErr w:type="spellEnd"/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orsz</w:t>
            </w:r>
            <w:proofErr w:type="spellEnd"/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</w:t>
            </w:r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</w:t>
            </w:r>
            <w:proofErr w:type="spellEnd"/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orsz</w:t>
            </w:r>
            <w:proofErr w:type="spellEnd"/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</w:t>
            </w:r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</w:t>
            </w:r>
            <w:proofErr w:type="spellEnd"/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orsz</w:t>
            </w:r>
            <w:proofErr w:type="spellEnd"/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</w:tr>
      <w:tr w:rsidR="00E020BB" w:rsidRPr="00825082" w:rsidTr="00DB5BB3">
        <w:trPr>
          <w:trHeight w:val="454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matematika 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1797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1817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1808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1617</w:t>
            </w:r>
          </w:p>
        </w:tc>
      </w:tr>
      <w:tr w:rsidR="00E020BB" w:rsidRPr="00825082" w:rsidTr="00DB5BB3">
        <w:trPr>
          <w:trHeight w:val="454"/>
          <w:jc w:val="center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10.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1635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1866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1836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1846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1631</w:t>
            </w:r>
          </w:p>
        </w:tc>
      </w:tr>
      <w:tr w:rsidR="00E020BB" w:rsidRPr="00825082" w:rsidTr="00DB5BB3">
        <w:trPr>
          <w:trHeight w:val="454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szövegértés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1577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1755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1722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1732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1557</w:t>
            </w:r>
          </w:p>
        </w:tc>
      </w:tr>
      <w:tr w:rsidR="00E020BB" w:rsidRPr="00825082" w:rsidTr="00DB5BB3">
        <w:trPr>
          <w:trHeight w:val="454"/>
          <w:jc w:val="center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10.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1795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1817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1597</w:t>
            </w:r>
          </w:p>
        </w:tc>
      </w:tr>
    </w:tbl>
    <w:p w:rsidR="00E020BB" w:rsidRPr="00E86B96" w:rsidRDefault="00E020BB" w:rsidP="00E36D58">
      <w:pPr>
        <w:pStyle w:val="Listaszerbekezds"/>
        <w:spacing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185" w:type="dxa"/>
        <w:jc w:val="center"/>
        <w:tblCellMar>
          <w:left w:w="70" w:type="dxa"/>
          <w:right w:w="70" w:type="dxa"/>
        </w:tblCellMar>
        <w:tblLook w:val="04A0"/>
      </w:tblPr>
      <w:tblGrid>
        <w:gridCol w:w="1768"/>
        <w:gridCol w:w="709"/>
        <w:gridCol w:w="927"/>
        <w:gridCol w:w="927"/>
        <w:gridCol w:w="927"/>
        <w:gridCol w:w="927"/>
      </w:tblGrid>
      <w:tr w:rsidR="00E020BB" w:rsidRPr="00F445D5" w:rsidTr="00DB5BB3">
        <w:trPr>
          <w:trHeight w:val="405"/>
          <w:jc w:val="center"/>
        </w:trPr>
        <w:tc>
          <w:tcPr>
            <w:tcW w:w="6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CF3" w:rsidRDefault="00AF5CF3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</w:pPr>
          </w:p>
          <w:p w:rsidR="00AF5CF3" w:rsidRDefault="00AF5CF3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</w:pPr>
          </w:p>
          <w:p w:rsidR="00E020BB" w:rsidRPr="00F445D5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>2. táblázat: Az intézményi átlag e</w:t>
            </w:r>
            <w:r w:rsidRPr="00F445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>ltérés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>e</w:t>
            </w:r>
            <w:r w:rsidRPr="00F445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 xml:space="preserve"> az országos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 xml:space="preserve"> átlagtól</w:t>
            </w:r>
            <w:r w:rsidRPr="00F445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020BB" w:rsidRPr="001A7059" w:rsidTr="00DB5BB3">
        <w:trPr>
          <w:trHeight w:val="454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mérési terület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évf.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2013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2014</w:t>
            </w:r>
          </w:p>
        </w:tc>
      </w:tr>
      <w:tr w:rsidR="00E020BB" w:rsidRPr="001A7059" w:rsidTr="00DB5BB3">
        <w:trPr>
          <w:trHeight w:val="454"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B" w:rsidRPr="001A7059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B" w:rsidRPr="001A7059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B" w:rsidRPr="001A7059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E020BB" w:rsidRPr="001A7059" w:rsidTr="00DB5BB3">
        <w:trPr>
          <w:trHeight w:val="454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matematika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191</w:t>
            </w:r>
          </w:p>
        </w:tc>
      </w:tr>
      <w:tr w:rsidR="00E020BB" w:rsidRPr="001A7059" w:rsidTr="00DB5BB3">
        <w:trPr>
          <w:trHeight w:val="454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10.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215</w:t>
            </w:r>
          </w:p>
        </w:tc>
      </w:tr>
      <w:tr w:rsidR="00E020BB" w:rsidRPr="001A7059" w:rsidTr="00DB5BB3">
        <w:trPr>
          <w:trHeight w:val="454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szövegértés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175</w:t>
            </w:r>
          </w:p>
        </w:tc>
      </w:tr>
      <w:tr w:rsidR="00E020BB" w:rsidRPr="001A7059" w:rsidTr="00DB5BB3">
        <w:trPr>
          <w:trHeight w:val="454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10.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220</w:t>
            </w:r>
          </w:p>
        </w:tc>
      </w:tr>
    </w:tbl>
    <w:p w:rsidR="00E020BB" w:rsidRDefault="00E020BB" w:rsidP="00E020BB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15CA" w:rsidRDefault="003F12E4" w:rsidP="00AF5CF3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43D35">
        <w:rPr>
          <w:rFonts w:ascii="Times New Roman" w:hAnsi="Times New Roman" w:cs="Times New Roman"/>
          <w:sz w:val="24"/>
          <w:szCs w:val="24"/>
        </w:rPr>
        <w:t>inden</w:t>
      </w:r>
      <w:r>
        <w:rPr>
          <w:rFonts w:ascii="Times New Roman" w:hAnsi="Times New Roman" w:cs="Times New Roman"/>
          <w:sz w:val="24"/>
          <w:szCs w:val="24"/>
        </w:rPr>
        <w:t xml:space="preserve"> mérés során </w:t>
      </w:r>
      <w:r w:rsidR="00751F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751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és a 10. </w:t>
      </w:r>
      <w:r w:rsidR="00743D35">
        <w:rPr>
          <w:rFonts w:ascii="Times New Roman" w:hAnsi="Times New Roman" w:cs="Times New Roman"/>
          <w:sz w:val="24"/>
          <w:szCs w:val="24"/>
        </w:rPr>
        <w:t>évfolyamon</w:t>
      </w:r>
      <w:r>
        <w:rPr>
          <w:rFonts w:ascii="Times New Roman" w:hAnsi="Times New Roman" w:cs="Times New Roman"/>
          <w:sz w:val="24"/>
          <w:szCs w:val="24"/>
        </w:rPr>
        <w:t xml:space="preserve"> is - </w:t>
      </w:r>
      <w:r w:rsidR="00743D35">
        <w:rPr>
          <w:rFonts w:ascii="Times New Roman" w:hAnsi="Times New Roman" w:cs="Times New Roman"/>
          <w:sz w:val="24"/>
          <w:szCs w:val="24"/>
        </w:rPr>
        <w:t xml:space="preserve">mintegy </w:t>
      </w:r>
      <w:r w:rsidR="00743D35" w:rsidRPr="00AF5CF3">
        <w:rPr>
          <w:rFonts w:ascii="Times New Roman" w:hAnsi="Times New Roman" w:cs="Times New Roman"/>
          <w:sz w:val="24"/>
          <w:szCs w:val="24"/>
        </w:rPr>
        <w:t>200 ponttal az országos átlag felett</w:t>
      </w:r>
      <w:r w:rsidR="00743D35">
        <w:rPr>
          <w:rFonts w:ascii="Times New Roman" w:hAnsi="Times New Roman" w:cs="Times New Roman"/>
          <w:sz w:val="24"/>
          <w:szCs w:val="24"/>
        </w:rPr>
        <w:t xml:space="preserve"> teljesítettünk</w:t>
      </w:r>
      <w:r w:rsidR="007D22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mindkét kompetencia-területen</w:t>
      </w:r>
      <w:r w:rsidR="00743D35">
        <w:rPr>
          <w:rFonts w:ascii="Times New Roman" w:hAnsi="Times New Roman" w:cs="Times New Roman"/>
          <w:sz w:val="24"/>
          <w:szCs w:val="24"/>
        </w:rPr>
        <w:t xml:space="preserve">. A </w:t>
      </w:r>
      <w:r w:rsidR="007D2272" w:rsidRPr="00AF5CF3">
        <w:rPr>
          <w:rFonts w:ascii="Times New Roman" w:hAnsi="Times New Roman" w:cs="Times New Roman"/>
          <w:i/>
          <w:sz w:val="24"/>
          <w:szCs w:val="24"/>
        </w:rPr>
        <w:t>2. táblázat</w:t>
      </w:r>
      <w:r w:rsidR="00743D35">
        <w:rPr>
          <w:rFonts w:ascii="Times New Roman" w:hAnsi="Times New Roman" w:cs="Times New Roman"/>
          <w:sz w:val="24"/>
          <w:szCs w:val="24"/>
        </w:rPr>
        <w:t xml:space="preserve"> alapján látható az is, hogy az intézményi eredménye</w:t>
      </w:r>
      <w:r w:rsidR="007D2272">
        <w:rPr>
          <w:rFonts w:ascii="Times New Roman" w:hAnsi="Times New Roman" w:cs="Times New Roman"/>
          <w:sz w:val="24"/>
          <w:szCs w:val="24"/>
        </w:rPr>
        <w:t>in</w:t>
      </w:r>
      <w:r w:rsidR="00743D35">
        <w:rPr>
          <w:rFonts w:ascii="Times New Roman" w:hAnsi="Times New Roman" w:cs="Times New Roman"/>
          <w:sz w:val="24"/>
          <w:szCs w:val="24"/>
        </w:rPr>
        <w:t xml:space="preserve">k – </w:t>
      </w:r>
      <w:r>
        <w:rPr>
          <w:rFonts w:ascii="Times New Roman" w:hAnsi="Times New Roman" w:cs="Times New Roman"/>
          <w:sz w:val="24"/>
          <w:szCs w:val="24"/>
        </w:rPr>
        <w:t xml:space="preserve">a 200 pontnyi </w:t>
      </w:r>
      <w:r w:rsidR="00743D35">
        <w:rPr>
          <w:rFonts w:ascii="Times New Roman" w:hAnsi="Times New Roman" w:cs="Times New Roman"/>
          <w:sz w:val="24"/>
          <w:szCs w:val="24"/>
        </w:rPr>
        <w:t xml:space="preserve">különbség megtartásával </w:t>
      </w:r>
      <w:r w:rsidR="00201997">
        <w:rPr>
          <w:rFonts w:ascii="Times New Roman" w:hAnsi="Times New Roman" w:cs="Times New Roman"/>
          <w:sz w:val="24"/>
          <w:szCs w:val="24"/>
        </w:rPr>
        <w:t>–</w:t>
      </w:r>
      <w:r w:rsidR="00743D35">
        <w:rPr>
          <w:rFonts w:ascii="Times New Roman" w:hAnsi="Times New Roman" w:cs="Times New Roman"/>
          <w:sz w:val="24"/>
          <w:szCs w:val="24"/>
        </w:rPr>
        <w:t xml:space="preserve"> </w:t>
      </w:r>
      <w:r w:rsidR="00201997">
        <w:rPr>
          <w:rFonts w:ascii="Times New Roman" w:hAnsi="Times New Roman" w:cs="Times New Roman"/>
          <w:sz w:val="24"/>
          <w:szCs w:val="24"/>
        </w:rPr>
        <w:t xml:space="preserve">általában </w:t>
      </w:r>
      <w:r w:rsidR="00743D35">
        <w:rPr>
          <w:rFonts w:ascii="Times New Roman" w:hAnsi="Times New Roman" w:cs="Times New Roman"/>
          <w:sz w:val="24"/>
          <w:szCs w:val="24"/>
        </w:rPr>
        <w:t>együtt mozognak az országos átlagokkal</w:t>
      </w:r>
      <w:r>
        <w:rPr>
          <w:rFonts w:ascii="Times New Roman" w:hAnsi="Times New Roman" w:cs="Times New Roman"/>
          <w:sz w:val="24"/>
          <w:szCs w:val="24"/>
        </w:rPr>
        <w:t>: ha az országos</w:t>
      </w:r>
      <w:r w:rsidR="00F445D5">
        <w:rPr>
          <w:rFonts w:ascii="Times New Roman" w:hAnsi="Times New Roman" w:cs="Times New Roman"/>
          <w:sz w:val="24"/>
          <w:szCs w:val="24"/>
        </w:rPr>
        <w:t xml:space="preserve"> átlag</w:t>
      </w:r>
      <w:r>
        <w:rPr>
          <w:rFonts w:ascii="Times New Roman" w:hAnsi="Times New Roman" w:cs="Times New Roman"/>
          <w:sz w:val="24"/>
          <w:szCs w:val="24"/>
        </w:rPr>
        <w:t xml:space="preserve"> szignifikánsan v</w:t>
      </w:r>
      <w:r w:rsidR="00F22AD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ltozott pozitív vagy negatív irányba, akkor a miénk is</w:t>
      </w:r>
      <w:r w:rsidR="00751F7C">
        <w:rPr>
          <w:rFonts w:ascii="Times New Roman" w:hAnsi="Times New Roman" w:cs="Times New Roman"/>
          <w:sz w:val="24"/>
          <w:szCs w:val="24"/>
        </w:rPr>
        <w:t xml:space="preserve"> (</w:t>
      </w:r>
      <w:r w:rsidR="00751F7C" w:rsidRPr="00AF5CF3">
        <w:rPr>
          <w:rFonts w:ascii="Times New Roman" w:hAnsi="Times New Roman" w:cs="Times New Roman"/>
          <w:i/>
          <w:sz w:val="24"/>
          <w:szCs w:val="24"/>
        </w:rPr>
        <w:t>2. táblázat</w:t>
      </w:r>
      <w:r w:rsidR="00751F7C">
        <w:rPr>
          <w:rFonts w:ascii="Times New Roman" w:hAnsi="Times New Roman" w:cs="Times New Roman"/>
          <w:sz w:val="24"/>
          <w:szCs w:val="24"/>
        </w:rPr>
        <w:t>)</w:t>
      </w:r>
      <w:r w:rsidR="00743D35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z elmúlt négy évet</w:t>
      </w:r>
      <w:r w:rsidR="00743D35">
        <w:rPr>
          <w:rFonts w:ascii="Times New Roman" w:hAnsi="Times New Roman" w:cs="Times New Roman"/>
          <w:sz w:val="24"/>
          <w:szCs w:val="24"/>
        </w:rPr>
        <w:t xml:space="preserve"> együtt vizsgálva </w:t>
      </w:r>
      <w:r w:rsidR="00F445D5">
        <w:rPr>
          <w:rFonts w:ascii="Times New Roman" w:hAnsi="Times New Roman" w:cs="Times New Roman"/>
          <w:sz w:val="24"/>
          <w:szCs w:val="24"/>
        </w:rPr>
        <w:t>látható a</w:t>
      </w:r>
      <w:r w:rsidR="008215CA">
        <w:rPr>
          <w:rFonts w:ascii="Times New Roman" w:hAnsi="Times New Roman" w:cs="Times New Roman"/>
          <w:sz w:val="24"/>
          <w:szCs w:val="24"/>
        </w:rPr>
        <w:t>z egyenletes</w:t>
      </w:r>
      <w:r w:rsidR="00751F7C">
        <w:rPr>
          <w:rFonts w:ascii="Times New Roman" w:hAnsi="Times New Roman" w:cs="Times New Roman"/>
          <w:sz w:val="24"/>
          <w:szCs w:val="24"/>
        </w:rPr>
        <w:t>,</w:t>
      </w:r>
      <w:r w:rsidR="008215CA">
        <w:rPr>
          <w:rFonts w:ascii="Times New Roman" w:hAnsi="Times New Roman" w:cs="Times New Roman"/>
          <w:sz w:val="24"/>
          <w:szCs w:val="24"/>
        </w:rPr>
        <w:t xml:space="preserve"> jó teljesítményünk</w:t>
      </w:r>
      <w:r w:rsidR="007D2272">
        <w:rPr>
          <w:rFonts w:ascii="Times New Roman" w:hAnsi="Times New Roman" w:cs="Times New Roman"/>
          <w:sz w:val="24"/>
          <w:szCs w:val="24"/>
        </w:rPr>
        <w:t xml:space="preserve"> (</w:t>
      </w:r>
      <w:r w:rsidR="007D2272" w:rsidRPr="00AF5CF3">
        <w:rPr>
          <w:rFonts w:ascii="Times New Roman" w:hAnsi="Times New Roman" w:cs="Times New Roman"/>
          <w:i/>
          <w:sz w:val="24"/>
          <w:szCs w:val="24"/>
        </w:rPr>
        <w:t>1. ábra</w:t>
      </w:r>
      <w:r w:rsidR="007D2272">
        <w:rPr>
          <w:rFonts w:ascii="Times New Roman" w:hAnsi="Times New Roman" w:cs="Times New Roman"/>
          <w:sz w:val="24"/>
          <w:szCs w:val="24"/>
        </w:rPr>
        <w:t>)</w:t>
      </w:r>
      <w:r w:rsidR="008215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272" w:rsidRDefault="007D2272" w:rsidP="00E36D58">
      <w:pPr>
        <w:pStyle w:val="Listaszerbekezds"/>
        <w:spacing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272" w:rsidRPr="0019011D" w:rsidRDefault="007D2272" w:rsidP="007D2272">
      <w:pPr>
        <w:pStyle w:val="Listaszerbekezds"/>
        <w:spacing w:after="120" w:line="360" w:lineRule="auto"/>
        <w:ind w:left="4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ábra: </w:t>
      </w:r>
      <w:r w:rsidRPr="0019011D">
        <w:rPr>
          <w:rFonts w:ascii="Times New Roman" w:hAnsi="Times New Roman" w:cs="Times New Roman"/>
          <w:i/>
          <w:sz w:val="24"/>
          <w:szCs w:val="24"/>
        </w:rPr>
        <w:t>Az intézményi eredmények évenként</w:t>
      </w:r>
      <w:r w:rsidR="00F423DA">
        <w:rPr>
          <w:rFonts w:ascii="Times New Roman" w:hAnsi="Times New Roman" w:cs="Times New Roman"/>
          <w:i/>
          <w:sz w:val="24"/>
          <w:szCs w:val="24"/>
        </w:rPr>
        <w:t>i</w:t>
      </w:r>
      <w:r w:rsidRPr="0019011D">
        <w:rPr>
          <w:rFonts w:ascii="Times New Roman" w:hAnsi="Times New Roman" w:cs="Times New Roman"/>
          <w:i/>
          <w:sz w:val="24"/>
          <w:szCs w:val="24"/>
        </w:rPr>
        <w:t xml:space="preserve"> alakulás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1901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2272" w:rsidRDefault="007D2272" w:rsidP="007D2272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4572000" cy="2790825"/>
            <wp:effectExtent l="0" t="0" r="0" b="9525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0459" w:rsidRDefault="00000459" w:rsidP="00E36D58">
      <w:pPr>
        <w:pStyle w:val="Listaszerbekezds"/>
        <w:spacing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35" w:rsidRDefault="008215CA" w:rsidP="00AF5CF3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3D35">
        <w:rPr>
          <w:rFonts w:ascii="Times New Roman" w:hAnsi="Times New Roman" w:cs="Times New Roman"/>
          <w:sz w:val="24"/>
          <w:szCs w:val="24"/>
        </w:rPr>
        <w:t xml:space="preserve"> 8. évfolyamo</w:t>
      </w:r>
      <w:r w:rsidR="003F12E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2E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2013-as </w:t>
      </w:r>
      <w:r w:rsidR="00201997">
        <w:rPr>
          <w:rFonts w:ascii="Times New Roman" w:hAnsi="Times New Roman" w:cs="Times New Roman"/>
          <w:sz w:val="24"/>
          <w:szCs w:val="24"/>
        </w:rPr>
        <w:t>kompetencia</w:t>
      </w:r>
      <w:r>
        <w:rPr>
          <w:rFonts w:ascii="Times New Roman" w:hAnsi="Times New Roman" w:cs="Times New Roman"/>
          <w:sz w:val="24"/>
          <w:szCs w:val="24"/>
        </w:rPr>
        <w:t xml:space="preserve">mérés </w:t>
      </w:r>
      <w:r w:rsidR="00743D35">
        <w:rPr>
          <w:rFonts w:ascii="Times New Roman" w:hAnsi="Times New Roman" w:cs="Times New Roman"/>
          <w:sz w:val="24"/>
          <w:szCs w:val="24"/>
        </w:rPr>
        <w:t>szövegértésben némi visszaesés</w:t>
      </w:r>
      <w:r>
        <w:rPr>
          <w:rFonts w:ascii="Times New Roman" w:hAnsi="Times New Roman" w:cs="Times New Roman"/>
          <w:sz w:val="24"/>
          <w:szCs w:val="24"/>
        </w:rPr>
        <w:t>t mutatott (</w:t>
      </w:r>
      <w:r w:rsidR="009B66B2">
        <w:rPr>
          <w:rFonts w:ascii="Times New Roman" w:hAnsi="Times New Roman" w:cs="Times New Roman"/>
          <w:sz w:val="24"/>
          <w:szCs w:val="24"/>
        </w:rPr>
        <w:t>ugyanekkor az</w:t>
      </w:r>
      <w:r>
        <w:rPr>
          <w:rFonts w:ascii="Times New Roman" w:hAnsi="Times New Roman" w:cs="Times New Roman"/>
          <w:sz w:val="24"/>
          <w:szCs w:val="24"/>
        </w:rPr>
        <w:t xml:space="preserve"> országos átlag is romlott). </w:t>
      </w:r>
      <w:r w:rsidR="00201997">
        <w:rPr>
          <w:rFonts w:ascii="Times New Roman" w:hAnsi="Times New Roman" w:cs="Times New Roman"/>
          <w:sz w:val="24"/>
          <w:szCs w:val="24"/>
        </w:rPr>
        <w:t>2014-ben t</w:t>
      </w:r>
      <w:r>
        <w:rPr>
          <w:rFonts w:ascii="Times New Roman" w:hAnsi="Times New Roman" w:cs="Times New Roman"/>
          <w:sz w:val="24"/>
          <w:szCs w:val="24"/>
        </w:rPr>
        <w:t>anulóink ezen a területen 10 ponttal jobban teljesítettek, mint 2013-ban</w:t>
      </w:r>
      <w:r w:rsidR="00201997">
        <w:rPr>
          <w:rFonts w:ascii="Times New Roman" w:hAnsi="Times New Roman" w:cs="Times New Roman"/>
          <w:sz w:val="24"/>
          <w:szCs w:val="24"/>
        </w:rPr>
        <w:t xml:space="preserve">. Jobb lett ugyan az országos átlag is, de iskolánkban </w:t>
      </w:r>
      <w:r>
        <w:rPr>
          <w:rFonts w:ascii="Times New Roman" w:hAnsi="Times New Roman" w:cs="Times New Roman"/>
          <w:sz w:val="24"/>
          <w:szCs w:val="24"/>
        </w:rPr>
        <w:t>a javulás mértéke jelentős</w:t>
      </w:r>
      <w:r w:rsidR="009B66B2">
        <w:rPr>
          <w:rFonts w:ascii="Times New Roman" w:hAnsi="Times New Roman" w:cs="Times New Roman"/>
          <w:sz w:val="24"/>
          <w:szCs w:val="24"/>
        </w:rPr>
        <w:t>en meghaladja az országos átlag javulásának mértékét.</w:t>
      </w:r>
      <w:r w:rsidR="00201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997" w:rsidRPr="00D4317B" w:rsidRDefault="00201997" w:rsidP="00AF5CF3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D4317B" w:rsidRPr="00AF5CF3">
        <w:rPr>
          <w:rFonts w:ascii="Times New Roman" w:hAnsi="Times New Roman" w:cs="Times New Roman"/>
          <w:i/>
          <w:sz w:val="24"/>
          <w:szCs w:val="24"/>
        </w:rPr>
        <w:t>1. ábra</w:t>
      </w:r>
      <w:r w:rsidR="00D4317B" w:rsidRPr="00AF5CF3">
        <w:rPr>
          <w:rFonts w:ascii="Times New Roman" w:hAnsi="Times New Roman" w:cs="Times New Roman"/>
          <w:sz w:val="24"/>
          <w:szCs w:val="24"/>
        </w:rPr>
        <w:t xml:space="preserve"> </w:t>
      </w:r>
      <w:r w:rsidR="00D4317B">
        <w:rPr>
          <w:rFonts w:ascii="Times New Roman" w:hAnsi="Times New Roman" w:cs="Times New Roman"/>
          <w:sz w:val="24"/>
          <w:szCs w:val="24"/>
        </w:rPr>
        <w:t xml:space="preserve">alapján megállapítható, hogy az elmúlt négy év kompetenciamérésein iskolánk tanulói egyenletesen, magas színvonalon teljesítettek. Nincs kiemelkedően jó vagy </w:t>
      </w:r>
      <w:r w:rsidR="00D4317B">
        <w:rPr>
          <w:rFonts w:ascii="Times New Roman" w:hAnsi="Times New Roman" w:cs="Times New Roman"/>
          <w:sz w:val="24"/>
          <w:szCs w:val="24"/>
        </w:rPr>
        <w:lastRenderedPageBreak/>
        <w:t xml:space="preserve">gyenge eredményünk. Erősségünknek tűnik a 10. évfolyamos matematika, összehasonlítva az eredményeinket az országos átlagokkal. Talán a 8. évfolyamos szövegértés terén teljesítünk </w:t>
      </w:r>
      <w:r w:rsidR="001D5D7A">
        <w:rPr>
          <w:rFonts w:ascii="Times New Roman" w:hAnsi="Times New Roman" w:cs="Times New Roman"/>
          <w:sz w:val="24"/>
          <w:szCs w:val="24"/>
        </w:rPr>
        <w:t>magunkhoz képest</w:t>
      </w:r>
      <w:r w:rsidR="00D4317B">
        <w:rPr>
          <w:rFonts w:ascii="Times New Roman" w:hAnsi="Times New Roman" w:cs="Times New Roman"/>
          <w:sz w:val="24"/>
          <w:szCs w:val="24"/>
        </w:rPr>
        <w:t xml:space="preserve"> gyengén, de eredményeink ott is legalább 167 ponttal az országos átlag felett vannak</w:t>
      </w:r>
      <w:r w:rsidR="001D5D7A">
        <w:rPr>
          <w:rFonts w:ascii="Times New Roman" w:hAnsi="Times New Roman" w:cs="Times New Roman"/>
          <w:sz w:val="24"/>
          <w:szCs w:val="24"/>
        </w:rPr>
        <w:t xml:space="preserve"> (</w:t>
      </w:r>
      <w:r w:rsidR="001D5D7A" w:rsidRPr="00AF5CF3">
        <w:rPr>
          <w:rFonts w:ascii="Times New Roman" w:hAnsi="Times New Roman" w:cs="Times New Roman"/>
          <w:i/>
          <w:sz w:val="24"/>
          <w:szCs w:val="24"/>
        </w:rPr>
        <w:t>2. táblázat</w:t>
      </w:r>
      <w:r w:rsidR="001D5D7A">
        <w:rPr>
          <w:rFonts w:ascii="Times New Roman" w:hAnsi="Times New Roman" w:cs="Times New Roman"/>
          <w:sz w:val="24"/>
          <w:szCs w:val="24"/>
        </w:rPr>
        <w:t xml:space="preserve">). Fontos kiemelni, hogy </w:t>
      </w:r>
      <w:r w:rsidR="00000459">
        <w:rPr>
          <w:rFonts w:ascii="Times New Roman" w:hAnsi="Times New Roman" w:cs="Times New Roman"/>
          <w:sz w:val="24"/>
          <w:szCs w:val="24"/>
        </w:rPr>
        <w:t xml:space="preserve">iskolánkban </w:t>
      </w:r>
      <w:r w:rsidR="001D5D7A">
        <w:rPr>
          <w:rFonts w:ascii="Times New Roman" w:hAnsi="Times New Roman" w:cs="Times New Roman"/>
          <w:sz w:val="24"/>
          <w:szCs w:val="24"/>
        </w:rPr>
        <w:t>a 8. évfolyamos szövegértés a 10. évfolyamra látványosan feljavul</w:t>
      </w:r>
      <w:r w:rsidR="0086554D">
        <w:rPr>
          <w:rFonts w:ascii="Times New Roman" w:hAnsi="Times New Roman" w:cs="Times New Roman"/>
          <w:sz w:val="24"/>
          <w:szCs w:val="24"/>
        </w:rPr>
        <w:t xml:space="preserve"> az országos átlaghoz viszonyítva</w:t>
      </w:r>
      <w:r w:rsidR="001D5D7A">
        <w:rPr>
          <w:rFonts w:ascii="Times New Roman" w:hAnsi="Times New Roman" w:cs="Times New Roman"/>
          <w:sz w:val="24"/>
          <w:szCs w:val="24"/>
        </w:rPr>
        <w:t>. A 2012-ben mért 188 pontos különbség 2014-ben 220 pontra növekedett, ami azt mutatja, hogy iskolánkban ezen a területen kiemelkedően eredményes az oktatás.</w:t>
      </w:r>
    </w:p>
    <w:p w:rsidR="00D95E19" w:rsidRPr="00825082" w:rsidRDefault="00D95E19" w:rsidP="00D95E19">
      <w:pPr>
        <w:pStyle w:val="Listaszerbekezds"/>
        <w:ind w:left="1484"/>
        <w:rPr>
          <w:rFonts w:ascii="Times New Roman" w:hAnsi="Times New Roman" w:cs="Times New Roman"/>
        </w:rPr>
      </w:pPr>
    </w:p>
    <w:p w:rsidR="00931A3D" w:rsidRDefault="00931A3D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Szembetűnő,</w:t>
      </w:r>
      <w:r w:rsidR="00D956B4">
        <w:rPr>
          <w:rFonts w:ascii="Times New Roman" w:hAnsi="Times New Roman" w:cs="Times New Roman"/>
          <w:sz w:val="24"/>
          <w:szCs w:val="24"/>
        </w:rPr>
        <w:t xml:space="preserve"> hogy a szövegértés iskolánkban a </w:t>
      </w:r>
      <w:r>
        <w:rPr>
          <w:rFonts w:ascii="Times New Roman" w:hAnsi="Times New Roman" w:cs="Times New Roman"/>
          <w:sz w:val="24"/>
          <w:szCs w:val="24"/>
        </w:rPr>
        <w:t>8. évfolyam</w:t>
      </w:r>
      <w:r w:rsidR="00C07E49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minden évben gyengébb,</w:t>
      </w:r>
      <w:r w:rsidR="00C07E49" w:rsidRPr="00C07E49">
        <w:rPr>
          <w:rFonts w:ascii="Times New Roman" w:hAnsi="Times New Roman" w:cs="Times New Roman"/>
          <w:sz w:val="24"/>
          <w:szCs w:val="24"/>
        </w:rPr>
        <w:t xml:space="preserve"> </w:t>
      </w:r>
      <w:r w:rsidR="00C07E49">
        <w:rPr>
          <w:rFonts w:ascii="Times New Roman" w:hAnsi="Times New Roman" w:cs="Times New Roman"/>
          <w:sz w:val="24"/>
          <w:szCs w:val="24"/>
        </w:rPr>
        <w:t xml:space="preserve">mint a </w:t>
      </w:r>
      <w:r w:rsidR="00D956B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D956B4">
        <w:rPr>
          <w:rFonts w:ascii="Times New Roman" w:hAnsi="Times New Roman" w:cs="Times New Roman"/>
          <w:sz w:val="24"/>
          <w:szCs w:val="24"/>
        </w:rPr>
        <w:t>évolyamos</w:t>
      </w:r>
      <w:proofErr w:type="spellEnd"/>
      <w:r w:rsidR="00D956B4">
        <w:rPr>
          <w:rFonts w:ascii="Times New Roman" w:hAnsi="Times New Roman" w:cs="Times New Roman"/>
          <w:sz w:val="24"/>
          <w:szCs w:val="24"/>
        </w:rPr>
        <w:t xml:space="preserve"> </w:t>
      </w:r>
      <w:r w:rsidR="00C07E49">
        <w:rPr>
          <w:rFonts w:ascii="Times New Roman" w:hAnsi="Times New Roman" w:cs="Times New Roman"/>
          <w:sz w:val="24"/>
          <w:szCs w:val="24"/>
        </w:rPr>
        <w:t>matematika vagy akár a 10. évfolyam matematika és szövegértés eredménye</w:t>
      </w:r>
      <w:r w:rsidR="00D956B4">
        <w:rPr>
          <w:rFonts w:ascii="Times New Roman" w:hAnsi="Times New Roman" w:cs="Times New Roman"/>
          <w:sz w:val="24"/>
          <w:szCs w:val="24"/>
        </w:rPr>
        <w:t xml:space="preserve"> (</w:t>
      </w:r>
      <w:r w:rsidR="00D956B4" w:rsidRPr="00D956B4">
        <w:rPr>
          <w:rFonts w:ascii="Times New Roman" w:hAnsi="Times New Roman" w:cs="Times New Roman"/>
          <w:i/>
          <w:sz w:val="24"/>
          <w:szCs w:val="24"/>
        </w:rPr>
        <w:t>1. ábra</w:t>
      </w:r>
      <w:r w:rsidR="00D956B4">
        <w:rPr>
          <w:rFonts w:ascii="Times New Roman" w:hAnsi="Times New Roman" w:cs="Times New Roman"/>
          <w:sz w:val="24"/>
          <w:szCs w:val="24"/>
        </w:rPr>
        <w:t xml:space="preserve">). Az országos átlagokat évenként összehasonlítva is ugyanez a tény olvasható ki az 1. táblázatból, azaz országosan is a 8. évfolyamos szövegértés tűnik a legproblémásabb területnek. </w:t>
      </w:r>
      <w:r w:rsidR="00277E6D">
        <w:rPr>
          <w:rFonts w:ascii="Times New Roman" w:hAnsi="Times New Roman" w:cs="Times New Roman"/>
          <w:sz w:val="24"/>
          <w:szCs w:val="24"/>
        </w:rPr>
        <w:t xml:space="preserve">Ez különösen azért meglepő, mert a kompetenciamérés eredményei standardizált eredmények. (Érdemes lenne alaposabban megvizsgálni </w:t>
      </w:r>
      <w:r w:rsidR="00C07E49">
        <w:rPr>
          <w:rFonts w:ascii="Times New Roman" w:hAnsi="Times New Roman" w:cs="Times New Roman"/>
          <w:sz w:val="24"/>
          <w:szCs w:val="24"/>
        </w:rPr>
        <w:t>a 8. évfolyam szövegértésben tapasztalt országosan romló eredményeit, feltárni ennek okait.</w:t>
      </w:r>
      <w:r w:rsidR="00277E6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63B46" w:rsidRDefault="00363B46" w:rsidP="00825082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Default="0019011D" w:rsidP="00825082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Pr="0019011D" w:rsidRDefault="0019011D" w:rsidP="0019011D">
      <w:pPr>
        <w:pStyle w:val="Listaszerbekezds"/>
        <w:spacing w:after="120" w:line="360" w:lineRule="auto"/>
        <w:ind w:left="4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1D">
        <w:rPr>
          <w:rFonts w:ascii="Times New Roman" w:hAnsi="Times New Roman" w:cs="Times New Roman"/>
          <w:i/>
          <w:sz w:val="24"/>
          <w:szCs w:val="24"/>
        </w:rPr>
        <w:t>2. ábra: A 8. évfolyam intézményi eredmény és országos átlag</w:t>
      </w:r>
      <w:r w:rsidR="00EA71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11D">
        <w:rPr>
          <w:rFonts w:ascii="Times New Roman" w:hAnsi="Times New Roman" w:cs="Times New Roman"/>
          <w:i/>
          <w:sz w:val="24"/>
          <w:szCs w:val="24"/>
        </w:rPr>
        <w:t xml:space="preserve">szövegértésből </w:t>
      </w:r>
    </w:p>
    <w:p w:rsidR="006538DF" w:rsidRDefault="00DD6FA1" w:rsidP="0019011D">
      <w:pPr>
        <w:pStyle w:val="Listaszerbekezds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4371975" cy="2743200"/>
            <wp:effectExtent l="0" t="0" r="9525" b="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7677" w:rsidRDefault="00447677" w:rsidP="00825082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2A58" w:rsidRDefault="00B03993" w:rsidP="00DF2A58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Intézményi szinten mind a 8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mind a 10. évfolyam egyenletesen jól teljesített matematikából</w:t>
      </w:r>
      <w:r w:rsidR="00DF2A58">
        <w:rPr>
          <w:rFonts w:ascii="Times New Roman" w:hAnsi="Times New Roman" w:cs="Times New Roman"/>
          <w:sz w:val="24"/>
          <w:szCs w:val="24"/>
        </w:rPr>
        <w:t>. Szövegértésben a 10. évfolyam eredménye kiemelkedő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F2A58">
        <w:rPr>
          <w:rFonts w:ascii="Times New Roman" w:hAnsi="Times New Roman" w:cs="Times New Roman"/>
          <w:i/>
          <w:sz w:val="24"/>
          <w:szCs w:val="24"/>
        </w:rPr>
        <w:t>1. ábra</w:t>
      </w:r>
      <w:r>
        <w:rPr>
          <w:rFonts w:ascii="Times New Roman" w:hAnsi="Times New Roman" w:cs="Times New Roman"/>
          <w:sz w:val="24"/>
          <w:szCs w:val="24"/>
        </w:rPr>
        <w:t>)</w:t>
      </w:r>
      <w:r w:rsidR="00DF2A58">
        <w:rPr>
          <w:rFonts w:ascii="Times New Roman" w:hAnsi="Times New Roman" w:cs="Times New Roman"/>
          <w:sz w:val="24"/>
          <w:szCs w:val="24"/>
        </w:rPr>
        <w:t>, az országos átlagokhoz és a saját 8. évfolyamban elért eredményeinkhez képest is.</w:t>
      </w:r>
    </w:p>
    <w:p w:rsidR="00B03993" w:rsidRDefault="00B03993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Arany János Tehetséggondozó Programban tanulók az előkészítő évfolyam miatt a kompetenciamérés idején a tanterv szerint </w:t>
      </w:r>
      <w:r w:rsidR="00DF2A58">
        <w:rPr>
          <w:rFonts w:ascii="Times New Roman" w:hAnsi="Times New Roman" w:cs="Times New Roman"/>
          <w:sz w:val="24"/>
          <w:szCs w:val="24"/>
        </w:rPr>
        <w:t xml:space="preserve">igazából </w:t>
      </w:r>
      <w:r>
        <w:rPr>
          <w:rFonts w:ascii="Times New Roman" w:hAnsi="Times New Roman" w:cs="Times New Roman"/>
          <w:sz w:val="24"/>
          <w:szCs w:val="24"/>
        </w:rPr>
        <w:t xml:space="preserve">csak 9. évfolyamosok, mégis jó eredményeket ért el a 10. évfolyam. </w:t>
      </w:r>
    </w:p>
    <w:p w:rsidR="00B03993" w:rsidRDefault="00B03993" w:rsidP="00E36D58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11D" w:rsidRDefault="00E86B96" w:rsidP="004C4F00">
      <w:pPr>
        <w:pStyle w:val="Listaszerbekezds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96">
        <w:rPr>
          <w:rFonts w:ascii="Times New Roman" w:hAnsi="Times New Roman" w:cs="Times New Roman"/>
          <w:b/>
          <w:sz w:val="28"/>
          <w:szCs w:val="28"/>
        </w:rPr>
        <w:t>Képzési formák szerinti eredmények</w:t>
      </w:r>
    </w:p>
    <w:p w:rsidR="004C4F00" w:rsidRPr="00E86B96" w:rsidRDefault="004C4F00" w:rsidP="00E36D58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A3D" w:rsidRDefault="00447677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960DE">
        <w:rPr>
          <w:rFonts w:ascii="Times New Roman" w:hAnsi="Times New Roman" w:cs="Times New Roman"/>
          <w:b/>
          <w:sz w:val="24"/>
          <w:szCs w:val="24"/>
        </w:rPr>
        <w:t>matematika eredményeket</w:t>
      </w:r>
      <w:r>
        <w:rPr>
          <w:rFonts w:ascii="Times New Roman" w:hAnsi="Times New Roman" w:cs="Times New Roman"/>
          <w:sz w:val="24"/>
          <w:szCs w:val="24"/>
        </w:rPr>
        <w:t xml:space="preserve"> a képzési formák szerint vizsgálva tapasztalható kis ingadozás, de az adatokból nem lehet kiolvasni semmilyen trendet</w:t>
      </w:r>
      <w:r w:rsidR="00E34B37">
        <w:rPr>
          <w:rFonts w:ascii="Times New Roman" w:hAnsi="Times New Roman" w:cs="Times New Roman"/>
          <w:sz w:val="24"/>
          <w:szCs w:val="24"/>
        </w:rPr>
        <w:t xml:space="preserve"> (</w:t>
      </w:r>
      <w:r w:rsidR="00E34B37" w:rsidRPr="00B23A5C">
        <w:rPr>
          <w:rFonts w:ascii="Times New Roman" w:hAnsi="Times New Roman" w:cs="Times New Roman"/>
          <w:i/>
          <w:sz w:val="24"/>
          <w:szCs w:val="24"/>
        </w:rPr>
        <w:t>3. ábra</w:t>
      </w:r>
      <w:r w:rsidR="00E34B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 6 évfolyamos képzés eredményei egyenletesebbek, és különösen a 10. évfolyamon kiemelkedően jók, ami a tanulási folyamat eredményességére utal. </w:t>
      </w:r>
      <w:r w:rsidR="004B1AAE">
        <w:rPr>
          <w:rFonts w:ascii="Times New Roman" w:hAnsi="Times New Roman" w:cs="Times New Roman"/>
          <w:sz w:val="24"/>
          <w:szCs w:val="24"/>
        </w:rPr>
        <w:t xml:space="preserve">A 4 évfolyamos 10. osztályosok eredményei </w:t>
      </w:r>
      <w:r w:rsidR="00CA434F">
        <w:rPr>
          <w:rFonts w:ascii="Times New Roman" w:hAnsi="Times New Roman" w:cs="Times New Roman"/>
          <w:sz w:val="24"/>
          <w:szCs w:val="24"/>
        </w:rPr>
        <w:t xml:space="preserve">általában kicsit gyengébbek, </w:t>
      </w:r>
      <w:r w:rsidR="004B1AAE">
        <w:rPr>
          <w:rFonts w:ascii="Times New Roman" w:hAnsi="Times New Roman" w:cs="Times New Roman"/>
          <w:sz w:val="24"/>
          <w:szCs w:val="24"/>
        </w:rPr>
        <w:t>valószínűleg a beiskolázás sikerességétől</w:t>
      </w:r>
      <w:r w:rsidR="003F1433">
        <w:rPr>
          <w:rFonts w:ascii="Times New Roman" w:hAnsi="Times New Roman" w:cs="Times New Roman"/>
          <w:sz w:val="24"/>
          <w:szCs w:val="24"/>
        </w:rPr>
        <w:t xml:space="preserve">, </w:t>
      </w:r>
      <w:r w:rsidR="00CA434F">
        <w:rPr>
          <w:rFonts w:ascii="Times New Roman" w:hAnsi="Times New Roman" w:cs="Times New Roman"/>
          <w:sz w:val="24"/>
          <w:szCs w:val="24"/>
        </w:rPr>
        <w:t xml:space="preserve">elsősorban </w:t>
      </w:r>
      <w:r w:rsidR="003F1433">
        <w:rPr>
          <w:rFonts w:ascii="Times New Roman" w:hAnsi="Times New Roman" w:cs="Times New Roman"/>
          <w:sz w:val="24"/>
          <w:szCs w:val="24"/>
        </w:rPr>
        <w:t>az Arany János Tehetséggondozó Pr</w:t>
      </w:r>
      <w:r w:rsidR="00CA434F">
        <w:rPr>
          <w:rFonts w:ascii="Times New Roman" w:hAnsi="Times New Roman" w:cs="Times New Roman"/>
          <w:sz w:val="24"/>
          <w:szCs w:val="24"/>
        </w:rPr>
        <w:t>ogramba kerülő tanulók képességeitől függnek.</w:t>
      </w:r>
    </w:p>
    <w:p w:rsidR="0019011D" w:rsidRDefault="0019011D" w:rsidP="00E36D58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Pr="0019011D" w:rsidRDefault="0019011D" w:rsidP="0019011D">
      <w:pPr>
        <w:pStyle w:val="Listaszerbekezds"/>
        <w:spacing w:after="120" w:line="360" w:lineRule="auto"/>
        <w:ind w:left="4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19011D">
        <w:rPr>
          <w:rFonts w:ascii="Times New Roman" w:hAnsi="Times New Roman" w:cs="Times New Roman"/>
          <w:i/>
          <w:sz w:val="24"/>
          <w:szCs w:val="24"/>
        </w:rPr>
        <w:t xml:space="preserve">. ábra: A </w:t>
      </w:r>
      <w:r>
        <w:rPr>
          <w:rFonts w:ascii="Times New Roman" w:hAnsi="Times New Roman" w:cs="Times New Roman"/>
          <w:i/>
          <w:sz w:val="24"/>
          <w:szCs w:val="24"/>
        </w:rPr>
        <w:t>matematika eredmények</w:t>
      </w:r>
      <w:r w:rsidRPr="0019011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képzési formák és évfolyamok szerint</w:t>
      </w:r>
    </w:p>
    <w:p w:rsidR="002B111D" w:rsidRDefault="00EA71FD" w:rsidP="0019011D">
      <w:pPr>
        <w:pStyle w:val="Listaszerbekezds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4572000" cy="2743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0170" w:rsidRDefault="00A10170" w:rsidP="00825082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0170" w:rsidRDefault="00A10170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960DE">
        <w:rPr>
          <w:rFonts w:ascii="Times New Roman" w:hAnsi="Times New Roman" w:cs="Times New Roman"/>
          <w:b/>
          <w:sz w:val="24"/>
          <w:szCs w:val="24"/>
        </w:rPr>
        <w:t>szövegértést</w:t>
      </w:r>
      <w:r>
        <w:rPr>
          <w:rFonts w:ascii="Times New Roman" w:hAnsi="Times New Roman" w:cs="Times New Roman"/>
          <w:sz w:val="24"/>
          <w:szCs w:val="24"/>
        </w:rPr>
        <w:t xml:space="preserve"> tekintve a 6 illetve 4 évfolyamos képzés eredményeiben nem </w:t>
      </w:r>
      <w:r w:rsidR="00F02DAD">
        <w:rPr>
          <w:rFonts w:ascii="Times New Roman" w:hAnsi="Times New Roman" w:cs="Times New Roman"/>
          <w:sz w:val="24"/>
          <w:szCs w:val="24"/>
        </w:rPr>
        <w:t>észlelhető</w:t>
      </w:r>
      <w:r>
        <w:rPr>
          <w:rFonts w:ascii="Times New Roman" w:hAnsi="Times New Roman" w:cs="Times New Roman"/>
          <w:sz w:val="24"/>
          <w:szCs w:val="24"/>
        </w:rPr>
        <w:t xml:space="preserve"> tendencia, viszont a 8. évfolyamban az eredmények (az országos eredményekkel összhangban) </w:t>
      </w:r>
      <w:r w:rsidR="00AC6CF6">
        <w:rPr>
          <w:rFonts w:ascii="Times New Roman" w:hAnsi="Times New Roman" w:cs="Times New Roman"/>
          <w:sz w:val="24"/>
          <w:szCs w:val="24"/>
        </w:rPr>
        <w:t>kissé gyengébbek, de a 2014-es kompetenciamérés már javulást mutat.</w:t>
      </w:r>
      <w:r w:rsidR="00F02DAD">
        <w:rPr>
          <w:rFonts w:ascii="Times New Roman" w:hAnsi="Times New Roman" w:cs="Times New Roman"/>
          <w:sz w:val="24"/>
          <w:szCs w:val="24"/>
        </w:rPr>
        <w:t xml:space="preserve"> (</w:t>
      </w:r>
      <w:r w:rsidR="00F02DAD" w:rsidRPr="00B23A5C">
        <w:rPr>
          <w:rFonts w:ascii="Times New Roman" w:hAnsi="Times New Roman" w:cs="Times New Roman"/>
          <w:i/>
          <w:sz w:val="24"/>
          <w:szCs w:val="24"/>
        </w:rPr>
        <w:t>4. ábra</w:t>
      </w:r>
      <w:r w:rsidR="00F02D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DAD" w:rsidRDefault="00F02DAD" w:rsidP="00E36D58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DAD" w:rsidRPr="0019011D" w:rsidRDefault="00F02DAD" w:rsidP="00F02DAD">
      <w:pPr>
        <w:pStyle w:val="Listaszerbekezds"/>
        <w:spacing w:after="120" w:line="360" w:lineRule="auto"/>
        <w:ind w:left="4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19011D">
        <w:rPr>
          <w:rFonts w:ascii="Times New Roman" w:hAnsi="Times New Roman" w:cs="Times New Roman"/>
          <w:i/>
          <w:sz w:val="24"/>
          <w:szCs w:val="24"/>
        </w:rPr>
        <w:t xml:space="preserve">. ábra: A </w:t>
      </w:r>
      <w:r>
        <w:rPr>
          <w:rFonts w:ascii="Times New Roman" w:hAnsi="Times New Roman" w:cs="Times New Roman"/>
          <w:i/>
          <w:sz w:val="24"/>
          <w:szCs w:val="24"/>
        </w:rPr>
        <w:t>szövegértés eredmények</w:t>
      </w:r>
      <w:r w:rsidRPr="0019011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képzési formák és évfolyamok szerint</w:t>
      </w:r>
    </w:p>
    <w:p w:rsidR="00A10170" w:rsidRDefault="00EA71FD" w:rsidP="00F02DAD">
      <w:pPr>
        <w:pStyle w:val="Listaszerbekezds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4572000" cy="27432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60DE" w:rsidRDefault="00C960DE" w:rsidP="00BA3293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293" w:rsidRDefault="00D77F86" w:rsidP="004C4F00">
      <w:pPr>
        <w:pStyle w:val="Listaszerbekezds"/>
        <w:spacing w:line="360" w:lineRule="auto"/>
        <w:ind w:left="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á</w:t>
      </w:r>
      <w:r w:rsidR="00BA3293">
        <w:rPr>
          <w:rFonts w:ascii="Times New Roman" w:hAnsi="Times New Roman" w:cs="Times New Roman"/>
          <w:b/>
          <w:sz w:val="28"/>
          <w:szCs w:val="28"/>
        </w:rPr>
        <w:t xml:space="preserve">tlageredmények </w:t>
      </w:r>
      <w:r>
        <w:rPr>
          <w:rFonts w:ascii="Times New Roman" w:hAnsi="Times New Roman" w:cs="Times New Roman"/>
          <w:b/>
          <w:sz w:val="28"/>
          <w:szCs w:val="28"/>
        </w:rPr>
        <w:t>és a várt eredmények összehasonlítása,</w:t>
      </w:r>
      <w:r w:rsidR="00BA3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6B9">
        <w:rPr>
          <w:rFonts w:ascii="Times New Roman" w:hAnsi="Times New Roman" w:cs="Times New Roman"/>
          <w:b/>
          <w:sz w:val="28"/>
          <w:szCs w:val="28"/>
        </w:rPr>
        <w:t xml:space="preserve">az </w:t>
      </w:r>
      <w:r w:rsidR="00BA3293">
        <w:rPr>
          <w:rFonts w:ascii="Times New Roman" w:hAnsi="Times New Roman" w:cs="Times New Roman"/>
          <w:b/>
          <w:sz w:val="28"/>
          <w:szCs w:val="28"/>
        </w:rPr>
        <w:t>alapszint alatt teljesítők</w:t>
      </w:r>
    </w:p>
    <w:p w:rsidR="004C4F00" w:rsidRPr="00E86B96" w:rsidRDefault="004C4F00" w:rsidP="00BA3293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DBB" w:rsidRDefault="000A4DBB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</w:t>
      </w:r>
      <w:r w:rsidR="008700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és 201</w:t>
      </w:r>
      <w:r w:rsidR="008700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közötti kompetenciamérések alapján megállapítható, ho</w:t>
      </w:r>
      <w:r w:rsidR="000C2893">
        <w:rPr>
          <w:rFonts w:ascii="Times New Roman" w:hAnsi="Times New Roman" w:cs="Times New Roman"/>
          <w:sz w:val="24"/>
          <w:szCs w:val="24"/>
        </w:rPr>
        <w:t xml:space="preserve">gy a tanulók átlageredménye </w:t>
      </w:r>
      <w:r w:rsidR="00B85E43">
        <w:rPr>
          <w:rFonts w:ascii="Times New Roman" w:hAnsi="Times New Roman" w:cs="Times New Roman"/>
          <w:sz w:val="24"/>
          <w:szCs w:val="24"/>
        </w:rPr>
        <w:t xml:space="preserve">szignifikánsan </w:t>
      </w:r>
      <w:r w:rsidR="000C2893">
        <w:rPr>
          <w:rFonts w:ascii="Times New Roman" w:hAnsi="Times New Roman" w:cs="Times New Roman"/>
          <w:sz w:val="24"/>
          <w:szCs w:val="24"/>
        </w:rPr>
        <w:t xml:space="preserve">jobb, vagy legalább annyi, mint a </w:t>
      </w:r>
      <w:r w:rsidR="000C2893" w:rsidRPr="00D21672">
        <w:rPr>
          <w:rFonts w:ascii="Times New Roman" w:hAnsi="Times New Roman" w:cs="Times New Roman"/>
          <w:b/>
          <w:sz w:val="24"/>
          <w:szCs w:val="24"/>
        </w:rPr>
        <w:t>korábbi mérések</w:t>
      </w:r>
      <w:r w:rsidR="00B85E43">
        <w:rPr>
          <w:rFonts w:ascii="Times New Roman" w:hAnsi="Times New Roman" w:cs="Times New Roman"/>
          <w:sz w:val="24"/>
          <w:szCs w:val="24"/>
        </w:rPr>
        <w:t xml:space="preserve"> illetve a </w:t>
      </w:r>
      <w:proofErr w:type="spellStart"/>
      <w:r w:rsidR="00B85E43" w:rsidRPr="00D21672">
        <w:rPr>
          <w:rFonts w:ascii="Times New Roman" w:hAnsi="Times New Roman" w:cs="Times New Roman"/>
          <w:b/>
          <w:sz w:val="24"/>
          <w:szCs w:val="24"/>
        </w:rPr>
        <w:t>CSH-index</w:t>
      </w:r>
      <w:proofErr w:type="spellEnd"/>
      <w:r w:rsidR="00B85E43" w:rsidRPr="00D21672">
        <w:rPr>
          <w:rFonts w:ascii="Times New Roman" w:hAnsi="Times New Roman" w:cs="Times New Roman"/>
          <w:b/>
          <w:sz w:val="24"/>
          <w:szCs w:val="24"/>
        </w:rPr>
        <w:t xml:space="preserve"> alapján</w:t>
      </w:r>
      <w:r w:rsidR="00B85E43">
        <w:rPr>
          <w:rFonts w:ascii="Times New Roman" w:hAnsi="Times New Roman" w:cs="Times New Roman"/>
          <w:sz w:val="24"/>
          <w:szCs w:val="24"/>
        </w:rPr>
        <w:t xml:space="preserve"> v</w:t>
      </w:r>
      <w:r w:rsidR="000C2893">
        <w:rPr>
          <w:rFonts w:ascii="Times New Roman" w:hAnsi="Times New Roman" w:cs="Times New Roman"/>
          <w:sz w:val="24"/>
          <w:szCs w:val="24"/>
        </w:rPr>
        <w:t>árt eredmény</w:t>
      </w:r>
      <w:r w:rsidR="00B85E43">
        <w:rPr>
          <w:rFonts w:ascii="Times New Roman" w:hAnsi="Times New Roman" w:cs="Times New Roman"/>
          <w:sz w:val="24"/>
          <w:szCs w:val="24"/>
        </w:rPr>
        <w:t xml:space="preserve">. </w:t>
      </w:r>
      <w:r w:rsidR="00D77F86">
        <w:rPr>
          <w:rFonts w:ascii="Times New Roman" w:hAnsi="Times New Roman" w:cs="Times New Roman"/>
          <w:sz w:val="24"/>
          <w:szCs w:val="24"/>
        </w:rPr>
        <w:t xml:space="preserve">Különösen </w:t>
      </w:r>
      <w:r w:rsidR="007B77D1">
        <w:rPr>
          <w:rFonts w:ascii="Times New Roman" w:hAnsi="Times New Roman" w:cs="Times New Roman"/>
          <w:sz w:val="24"/>
          <w:szCs w:val="24"/>
        </w:rPr>
        <w:t xml:space="preserve">a </w:t>
      </w:r>
      <w:r w:rsidR="00D77F86">
        <w:rPr>
          <w:rFonts w:ascii="Times New Roman" w:hAnsi="Times New Roman" w:cs="Times New Roman"/>
          <w:sz w:val="24"/>
          <w:szCs w:val="24"/>
        </w:rPr>
        <w:t xml:space="preserve">4 évfolyamos képzésben sikerült messze túlszárnyalni a várt eredményeket. </w:t>
      </w:r>
      <w:r w:rsidR="00B85E43">
        <w:rPr>
          <w:rFonts w:ascii="Times New Roman" w:hAnsi="Times New Roman" w:cs="Times New Roman"/>
          <w:sz w:val="24"/>
          <w:szCs w:val="24"/>
        </w:rPr>
        <w:t xml:space="preserve">A </w:t>
      </w:r>
      <w:r w:rsidR="00B85E43" w:rsidRPr="00B85E43">
        <w:rPr>
          <w:rFonts w:ascii="Times New Roman" w:hAnsi="Times New Roman" w:cs="Times New Roman"/>
          <w:i/>
          <w:sz w:val="24"/>
          <w:szCs w:val="24"/>
        </w:rPr>
        <w:t>3. táblázatban</w:t>
      </w:r>
      <w:r w:rsidR="00B85E43">
        <w:rPr>
          <w:rFonts w:ascii="Times New Roman" w:hAnsi="Times New Roman" w:cs="Times New Roman"/>
          <w:sz w:val="24"/>
          <w:szCs w:val="24"/>
        </w:rPr>
        <w:t xml:space="preserve"> foglaljuk össze a 2014. évi </w:t>
      </w:r>
      <w:r w:rsidR="007B77D1">
        <w:rPr>
          <w:rFonts w:ascii="Times New Roman" w:hAnsi="Times New Roman" w:cs="Times New Roman"/>
          <w:sz w:val="24"/>
          <w:szCs w:val="24"/>
        </w:rPr>
        <w:t>kompetencia</w:t>
      </w:r>
      <w:r w:rsidR="00B85E43">
        <w:rPr>
          <w:rFonts w:ascii="Times New Roman" w:hAnsi="Times New Roman" w:cs="Times New Roman"/>
          <w:sz w:val="24"/>
          <w:szCs w:val="24"/>
        </w:rPr>
        <w:t xml:space="preserve">mérés eredményeit a tanulók korábbi eredményei és a </w:t>
      </w:r>
      <w:proofErr w:type="spellStart"/>
      <w:r w:rsidR="00B85E43">
        <w:rPr>
          <w:rFonts w:ascii="Times New Roman" w:hAnsi="Times New Roman" w:cs="Times New Roman"/>
          <w:sz w:val="24"/>
          <w:szCs w:val="24"/>
        </w:rPr>
        <w:t>CSH-index</w:t>
      </w:r>
      <w:proofErr w:type="spellEnd"/>
      <w:r w:rsidR="00B85E43">
        <w:rPr>
          <w:rFonts w:ascii="Times New Roman" w:hAnsi="Times New Roman" w:cs="Times New Roman"/>
          <w:sz w:val="24"/>
          <w:szCs w:val="24"/>
        </w:rPr>
        <w:t xml:space="preserve"> tükrében</w:t>
      </w:r>
      <w:r w:rsidR="004C4F00">
        <w:rPr>
          <w:rFonts w:ascii="Times New Roman" w:hAnsi="Times New Roman" w:cs="Times New Roman"/>
          <w:sz w:val="24"/>
          <w:szCs w:val="24"/>
        </w:rPr>
        <w:t>.</w:t>
      </w:r>
    </w:p>
    <w:p w:rsidR="00721B36" w:rsidRDefault="00721B36" w:rsidP="00E36D58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B36" w:rsidRPr="00721B36" w:rsidRDefault="00721B36" w:rsidP="00E36D58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B36">
        <w:rPr>
          <w:rFonts w:ascii="Times New Roman" w:hAnsi="Times New Roman" w:cs="Times New Roman"/>
          <w:i/>
          <w:sz w:val="24"/>
          <w:szCs w:val="24"/>
        </w:rPr>
        <w:t>3. táblázat: Az átlageredmények összehasonlítása a várt eredménnyel (2014)</w:t>
      </w:r>
    </w:p>
    <w:tbl>
      <w:tblPr>
        <w:tblStyle w:val="Rcsostblzat"/>
        <w:tblW w:w="0" w:type="auto"/>
        <w:tblInd w:w="425" w:type="dxa"/>
        <w:tblLook w:val="04A0"/>
      </w:tblPr>
      <w:tblGrid>
        <w:gridCol w:w="2215"/>
        <w:gridCol w:w="1336"/>
        <w:gridCol w:w="1336"/>
        <w:gridCol w:w="888"/>
        <w:gridCol w:w="1035"/>
        <w:gridCol w:w="911"/>
        <w:gridCol w:w="916"/>
      </w:tblGrid>
      <w:tr w:rsidR="00B32F14" w:rsidTr="00721B36">
        <w:tc>
          <w:tcPr>
            <w:tcW w:w="2215" w:type="dxa"/>
            <w:vMerge w:val="restart"/>
          </w:tcPr>
          <w:p w:rsidR="00B32F14" w:rsidRDefault="00B32F14" w:rsidP="00E36D58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évfolyam</w:t>
            </w:r>
          </w:p>
        </w:tc>
        <w:tc>
          <w:tcPr>
            <w:tcW w:w="3750" w:type="dxa"/>
            <w:gridSpan w:val="4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évfolyam</w:t>
            </w:r>
          </w:p>
        </w:tc>
      </w:tr>
      <w:tr w:rsidR="00B32F14" w:rsidTr="00721B36">
        <w:tc>
          <w:tcPr>
            <w:tcW w:w="2215" w:type="dxa"/>
            <w:vMerge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336" w:type="dxa"/>
            <w:vMerge w:val="restart"/>
            <w:vAlign w:val="center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szövegértés</w:t>
            </w:r>
          </w:p>
        </w:tc>
        <w:tc>
          <w:tcPr>
            <w:tcW w:w="1923" w:type="dxa"/>
            <w:gridSpan w:val="2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27" w:type="dxa"/>
            <w:gridSpan w:val="2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szövegértés</w:t>
            </w:r>
          </w:p>
        </w:tc>
      </w:tr>
      <w:tr w:rsidR="00B32F14" w:rsidTr="00721B36">
        <w:tc>
          <w:tcPr>
            <w:tcW w:w="2215" w:type="dxa"/>
            <w:vMerge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évf.</w:t>
            </w:r>
          </w:p>
        </w:tc>
        <w:tc>
          <w:tcPr>
            <w:tcW w:w="1035" w:type="dxa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évf.</w:t>
            </w:r>
          </w:p>
        </w:tc>
        <w:tc>
          <w:tcPr>
            <w:tcW w:w="911" w:type="dxa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évf.</w:t>
            </w:r>
          </w:p>
        </w:tc>
        <w:tc>
          <w:tcPr>
            <w:tcW w:w="916" w:type="dxa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évf.</w:t>
            </w:r>
          </w:p>
        </w:tc>
      </w:tr>
      <w:tr w:rsidR="00B32F14" w:rsidTr="00721B36">
        <w:tc>
          <w:tcPr>
            <w:tcW w:w="2215" w:type="dxa"/>
          </w:tcPr>
          <w:p w:rsidR="00B32F14" w:rsidRPr="00D77F86" w:rsidRDefault="00B32F14" w:rsidP="00D77F8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6">
              <w:rPr>
                <w:rFonts w:ascii="Times New Roman" w:hAnsi="Times New Roman" w:cs="Times New Roman"/>
                <w:sz w:val="24"/>
                <w:szCs w:val="24"/>
              </w:rPr>
              <w:t>átlageredmény</w:t>
            </w:r>
          </w:p>
        </w:tc>
        <w:tc>
          <w:tcPr>
            <w:tcW w:w="1336" w:type="dxa"/>
            <w:vAlign w:val="center"/>
          </w:tcPr>
          <w:p w:rsidR="00B32F14" w:rsidRDefault="00D432F3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  <w:tc>
          <w:tcPr>
            <w:tcW w:w="1336" w:type="dxa"/>
            <w:vAlign w:val="center"/>
          </w:tcPr>
          <w:p w:rsidR="00B32F14" w:rsidRDefault="00D432F3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888" w:type="dxa"/>
            <w:vAlign w:val="center"/>
          </w:tcPr>
          <w:p w:rsidR="00B32F14" w:rsidRDefault="00B32F14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035" w:type="dxa"/>
            <w:vAlign w:val="center"/>
          </w:tcPr>
          <w:p w:rsidR="00B32F14" w:rsidRDefault="00B32F14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  <w:tc>
          <w:tcPr>
            <w:tcW w:w="911" w:type="dxa"/>
            <w:vAlign w:val="center"/>
          </w:tcPr>
          <w:p w:rsidR="00B32F14" w:rsidRDefault="00E31820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916" w:type="dxa"/>
            <w:vAlign w:val="center"/>
          </w:tcPr>
          <w:p w:rsidR="00B32F14" w:rsidRDefault="00E31820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</w:tr>
      <w:tr w:rsidR="00B32F14" w:rsidTr="00721B36">
        <w:tc>
          <w:tcPr>
            <w:tcW w:w="2215" w:type="dxa"/>
          </w:tcPr>
          <w:p w:rsidR="00B32F14" w:rsidRPr="00D77F86" w:rsidRDefault="00B32F14" w:rsidP="00D77F8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6">
              <w:rPr>
                <w:rFonts w:ascii="Times New Roman" w:hAnsi="Times New Roman" w:cs="Times New Roman"/>
                <w:sz w:val="24"/>
                <w:szCs w:val="24"/>
              </w:rPr>
              <w:t>a várható eredmény a tanulók korábbi eredményei alapján korábbi</w:t>
            </w:r>
          </w:p>
        </w:tc>
        <w:tc>
          <w:tcPr>
            <w:tcW w:w="1336" w:type="dxa"/>
            <w:vAlign w:val="center"/>
          </w:tcPr>
          <w:p w:rsidR="00B32F14" w:rsidRDefault="00D432F3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1336" w:type="dxa"/>
            <w:vAlign w:val="center"/>
          </w:tcPr>
          <w:p w:rsidR="00B32F14" w:rsidRDefault="00D432F3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888" w:type="dxa"/>
            <w:vAlign w:val="center"/>
          </w:tcPr>
          <w:p w:rsidR="00B32F14" w:rsidRDefault="00B32F14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035" w:type="dxa"/>
            <w:vAlign w:val="center"/>
          </w:tcPr>
          <w:p w:rsidR="00B32F14" w:rsidRDefault="00B32F14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911" w:type="dxa"/>
            <w:vAlign w:val="center"/>
          </w:tcPr>
          <w:p w:rsidR="00B32F14" w:rsidRDefault="00E31820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  <w:tc>
          <w:tcPr>
            <w:tcW w:w="916" w:type="dxa"/>
            <w:vAlign w:val="center"/>
          </w:tcPr>
          <w:p w:rsidR="00B32F14" w:rsidRDefault="00E31820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</w:tr>
      <w:tr w:rsidR="00B32F14" w:rsidTr="00721B36">
        <w:tc>
          <w:tcPr>
            <w:tcW w:w="2215" w:type="dxa"/>
          </w:tcPr>
          <w:p w:rsidR="00B32F14" w:rsidRPr="00D77F86" w:rsidRDefault="00B32F14" w:rsidP="00D77F8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6">
              <w:rPr>
                <w:rFonts w:ascii="Times New Roman" w:hAnsi="Times New Roman" w:cs="Times New Roman"/>
                <w:sz w:val="24"/>
                <w:szCs w:val="24"/>
              </w:rPr>
              <w:t xml:space="preserve">a várható eredmény a </w:t>
            </w:r>
            <w:proofErr w:type="spellStart"/>
            <w:r w:rsidRPr="00D77F86">
              <w:rPr>
                <w:rFonts w:ascii="Times New Roman" w:hAnsi="Times New Roman" w:cs="Times New Roman"/>
                <w:sz w:val="24"/>
                <w:szCs w:val="24"/>
              </w:rPr>
              <w:t>CSH-index</w:t>
            </w:r>
            <w:proofErr w:type="spellEnd"/>
            <w:r w:rsidRPr="00D77F86">
              <w:rPr>
                <w:rFonts w:ascii="Times New Roman" w:hAnsi="Times New Roman" w:cs="Times New Roman"/>
                <w:sz w:val="24"/>
                <w:szCs w:val="24"/>
              </w:rPr>
              <w:t xml:space="preserve"> alapján</w:t>
            </w:r>
          </w:p>
        </w:tc>
        <w:tc>
          <w:tcPr>
            <w:tcW w:w="1336" w:type="dxa"/>
            <w:vAlign w:val="center"/>
          </w:tcPr>
          <w:p w:rsidR="00B32F14" w:rsidRPr="00D432F3" w:rsidRDefault="00D432F3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2F3">
              <w:rPr>
                <w:rFonts w:ascii="Times New Roman" w:hAnsi="Times New Roman" w:cs="Times New Roman"/>
                <w:i/>
                <w:sz w:val="24"/>
                <w:szCs w:val="24"/>
              </w:rPr>
              <w:t>nincs adat</w:t>
            </w:r>
          </w:p>
        </w:tc>
        <w:tc>
          <w:tcPr>
            <w:tcW w:w="1336" w:type="dxa"/>
            <w:vAlign w:val="center"/>
          </w:tcPr>
          <w:p w:rsidR="00B32F14" w:rsidRPr="00D432F3" w:rsidRDefault="00D432F3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2F3">
              <w:rPr>
                <w:rFonts w:ascii="Times New Roman" w:hAnsi="Times New Roman" w:cs="Times New Roman"/>
                <w:i/>
                <w:sz w:val="24"/>
                <w:szCs w:val="24"/>
              </w:rPr>
              <w:t>nincs adat</w:t>
            </w:r>
          </w:p>
        </w:tc>
        <w:tc>
          <w:tcPr>
            <w:tcW w:w="888" w:type="dxa"/>
            <w:vAlign w:val="center"/>
          </w:tcPr>
          <w:p w:rsidR="00B32F14" w:rsidRDefault="00B32F14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1035" w:type="dxa"/>
            <w:vAlign w:val="center"/>
          </w:tcPr>
          <w:p w:rsidR="00B32F14" w:rsidRDefault="00B32F14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911" w:type="dxa"/>
            <w:vAlign w:val="center"/>
          </w:tcPr>
          <w:p w:rsidR="00B32F14" w:rsidRDefault="00E31820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  <w:tc>
          <w:tcPr>
            <w:tcW w:w="916" w:type="dxa"/>
            <w:vAlign w:val="center"/>
          </w:tcPr>
          <w:p w:rsidR="00B32F14" w:rsidRDefault="00E31820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</w:tr>
    </w:tbl>
    <w:p w:rsidR="00BA0B0A" w:rsidRDefault="00BA0B0A" w:rsidP="00E36D58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0BC" w:rsidRDefault="008700BC" w:rsidP="00E36D58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893" w:rsidRDefault="000C2893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kompetenciamérések fontos eleme az </w:t>
      </w:r>
      <w:r w:rsidRPr="00D21672">
        <w:rPr>
          <w:rFonts w:ascii="Times New Roman" w:hAnsi="Times New Roman" w:cs="Times New Roman"/>
          <w:b/>
          <w:sz w:val="24"/>
          <w:szCs w:val="24"/>
        </w:rPr>
        <w:t>alapszint (4. képességszint) alatt teljesítő tanulók aránya</w:t>
      </w:r>
      <w:r>
        <w:rPr>
          <w:rFonts w:ascii="Times New Roman" w:hAnsi="Times New Roman" w:cs="Times New Roman"/>
          <w:sz w:val="24"/>
          <w:szCs w:val="24"/>
        </w:rPr>
        <w:t xml:space="preserve">. Ez a mi iskolánkban </w:t>
      </w:r>
      <w:r w:rsidR="00D21672">
        <w:rPr>
          <w:rFonts w:ascii="Times New Roman" w:hAnsi="Times New Roman" w:cs="Times New Roman"/>
          <w:sz w:val="24"/>
          <w:szCs w:val="24"/>
        </w:rPr>
        <w:t xml:space="preserve">általában </w:t>
      </w:r>
      <w:r>
        <w:rPr>
          <w:rFonts w:ascii="Times New Roman" w:hAnsi="Times New Roman" w:cs="Times New Roman"/>
          <w:sz w:val="24"/>
          <w:szCs w:val="24"/>
        </w:rPr>
        <w:t xml:space="preserve">nagyon alacsony szám, </w:t>
      </w:r>
      <w:r w:rsidR="0017438C">
        <w:rPr>
          <w:rFonts w:ascii="Times New Roman" w:hAnsi="Times New Roman" w:cs="Times New Roman"/>
          <w:sz w:val="24"/>
          <w:szCs w:val="24"/>
        </w:rPr>
        <w:t>képzési típusonként vizsgálva 0-</w:t>
      </w:r>
      <w:r w:rsidR="00D21672">
        <w:rPr>
          <w:rFonts w:ascii="Times New Roman" w:hAnsi="Times New Roman" w:cs="Times New Roman"/>
          <w:sz w:val="24"/>
          <w:szCs w:val="24"/>
        </w:rPr>
        <w:t>3 %, míg az or</w:t>
      </w:r>
      <w:r w:rsidR="0017438C">
        <w:rPr>
          <w:rFonts w:ascii="Times New Roman" w:hAnsi="Times New Roman" w:cs="Times New Roman"/>
          <w:sz w:val="24"/>
          <w:szCs w:val="24"/>
        </w:rPr>
        <w:t xml:space="preserve">szágos átlag 30-40%. </w:t>
      </w:r>
      <w:r w:rsidR="00D21672">
        <w:rPr>
          <w:rFonts w:ascii="Times New Roman" w:hAnsi="Times New Roman" w:cs="Times New Roman"/>
          <w:sz w:val="24"/>
          <w:szCs w:val="24"/>
        </w:rPr>
        <w:t xml:space="preserve">2014-ben </w:t>
      </w:r>
      <w:r w:rsidR="004B56A8">
        <w:rPr>
          <w:rFonts w:ascii="Times New Roman" w:hAnsi="Times New Roman" w:cs="Times New Roman"/>
          <w:sz w:val="24"/>
          <w:szCs w:val="24"/>
        </w:rPr>
        <w:t xml:space="preserve">viszont </w:t>
      </w:r>
      <w:r w:rsidR="00D21672">
        <w:rPr>
          <w:rFonts w:ascii="Times New Roman" w:hAnsi="Times New Roman" w:cs="Times New Roman"/>
          <w:sz w:val="24"/>
          <w:szCs w:val="24"/>
        </w:rPr>
        <w:t>több olyan tanulónk is akadt, aki nem érte el az alapszintet. A 8. évfolyamban</w:t>
      </w:r>
      <w:r w:rsidR="004B56A8">
        <w:rPr>
          <w:rFonts w:ascii="Times New Roman" w:hAnsi="Times New Roman" w:cs="Times New Roman"/>
          <w:sz w:val="24"/>
          <w:szCs w:val="24"/>
        </w:rPr>
        <w:t xml:space="preserve"> és a 4 évfolyamos gimnáziumi képzésben is volt </w:t>
      </w:r>
      <w:r w:rsidR="00D21672">
        <w:rPr>
          <w:rFonts w:ascii="Times New Roman" w:hAnsi="Times New Roman" w:cs="Times New Roman"/>
          <w:sz w:val="24"/>
          <w:szCs w:val="24"/>
        </w:rPr>
        <w:t>7</w:t>
      </w:r>
      <w:r w:rsidR="004B56A8">
        <w:rPr>
          <w:rFonts w:ascii="Times New Roman" w:hAnsi="Times New Roman" w:cs="Times New Roman"/>
          <w:sz w:val="24"/>
          <w:szCs w:val="24"/>
        </w:rPr>
        <w:t xml:space="preserve"> olyan </w:t>
      </w:r>
      <w:r w:rsidR="00D21672">
        <w:rPr>
          <w:rFonts w:ascii="Times New Roman" w:hAnsi="Times New Roman" w:cs="Times New Roman"/>
          <w:sz w:val="24"/>
          <w:szCs w:val="24"/>
        </w:rPr>
        <w:t>tanuló</w:t>
      </w:r>
      <w:r w:rsidR="004B56A8">
        <w:rPr>
          <w:rFonts w:ascii="Times New Roman" w:hAnsi="Times New Roman" w:cs="Times New Roman"/>
          <w:sz w:val="24"/>
          <w:szCs w:val="24"/>
        </w:rPr>
        <w:t>, aki nem érte el az alapszintet matematikából.</w:t>
      </w:r>
      <w:r w:rsidR="00D21672">
        <w:rPr>
          <w:rFonts w:ascii="Times New Roman" w:hAnsi="Times New Roman" w:cs="Times New Roman"/>
          <w:sz w:val="24"/>
          <w:szCs w:val="24"/>
        </w:rPr>
        <w:t xml:space="preserve"> </w:t>
      </w:r>
      <w:r w:rsidR="004B56A8">
        <w:rPr>
          <w:rFonts w:ascii="Times New Roman" w:hAnsi="Times New Roman" w:cs="Times New Roman"/>
          <w:sz w:val="24"/>
          <w:szCs w:val="24"/>
        </w:rPr>
        <w:t>Ezen feltétlenül változtatni kell.</w:t>
      </w:r>
    </w:p>
    <w:p w:rsidR="0004412D" w:rsidRDefault="0004412D" w:rsidP="00825082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4F00" w:rsidRDefault="004C4F00" w:rsidP="00825082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4F00" w:rsidRDefault="004C4F00" w:rsidP="00825082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4412D" w:rsidRPr="00363B46" w:rsidRDefault="0004412D" w:rsidP="0004412D">
      <w:pPr>
        <w:pStyle w:val="Listaszerbekezds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363B46">
        <w:rPr>
          <w:rFonts w:ascii="Times New Roman" w:hAnsi="Times New Roman" w:cs="Times New Roman"/>
          <w:b/>
          <w:sz w:val="28"/>
          <w:szCs w:val="28"/>
        </w:rPr>
        <w:t xml:space="preserve">Intézkedési terv az kompetenciamérés eredményeinek javítására </w:t>
      </w:r>
    </w:p>
    <w:p w:rsidR="0004412D" w:rsidRPr="009335AA" w:rsidRDefault="00AC1BE0" w:rsidP="00AF5CF3">
      <w:pPr>
        <w:pStyle w:val="Listaszerbekezds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35AA">
        <w:rPr>
          <w:rFonts w:ascii="Times New Roman" w:hAnsi="Times New Roman" w:cs="Times New Roman"/>
          <w:sz w:val="24"/>
          <w:szCs w:val="24"/>
        </w:rPr>
        <w:t xml:space="preserve">Iskolánkban továbbra </w:t>
      </w:r>
      <w:r w:rsidR="009335AA">
        <w:rPr>
          <w:rFonts w:ascii="Times New Roman" w:hAnsi="Times New Roman" w:cs="Times New Roman"/>
          <w:sz w:val="24"/>
          <w:szCs w:val="24"/>
        </w:rPr>
        <w:t xml:space="preserve">is </w:t>
      </w:r>
      <w:r w:rsidRPr="009335AA">
        <w:rPr>
          <w:rFonts w:ascii="Times New Roman" w:hAnsi="Times New Roman" w:cs="Times New Roman"/>
          <w:sz w:val="24"/>
          <w:szCs w:val="24"/>
        </w:rPr>
        <w:t xml:space="preserve">olyan oktató-nevelő munkára törekszünk, amely a gyermekközpontú tehetséggondozást, a gyermekek személyiségének és képességeinek fejlesztését szolgálja. </w:t>
      </w:r>
      <w:r w:rsidR="0004412D" w:rsidRPr="009335AA">
        <w:rPr>
          <w:rFonts w:ascii="Times New Roman" w:hAnsi="Times New Roman" w:cs="Times New Roman"/>
          <w:sz w:val="24"/>
          <w:szCs w:val="24"/>
        </w:rPr>
        <w:t xml:space="preserve">A tanítási órákon az eddigieknél is nagyobb hangsúllyal törekszünk arra, hogy a tanulók matematikai eszköztudása és szövegértési képességei javuljanak, hogy a hétköznapi életben alkalmazható tudásuk fejlődjön. </w:t>
      </w:r>
    </w:p>
    <w:p w:rsidR="0004412D" w:rsidRDefault="00AC1BE0" w:rsidP="00AF5CF3">
      <w:pPr>
        <w:pStyle w:val="Listaszerbekezds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tanulói azonosítók alapján megkeressük azokat a tanulókat, </w:t>
      </w:r>
      <w:r w:rsidR="004B56A8">
        <w:rPr>
          <w:rFonts w:ascii="Times New Roman" w:hAnsi="Times New Roman" w:cs="Times New Roman"/>
          <w:sz w:val="24"/>
          <w:szCs w:val="24"/>
        </w:rPr>
        <w:t xml:space="preserve">illetve azokat a tanulócsoportokat, </w:t>
      </w:r>
      <w:r>
        <w:rPr>
          <w:rFonts w:ascii="Times New Roman" w:hAnsi="Times New Roman" w:cs="Times New Roman"/>
          <w:sz w:val="24"/>
          <w:szCs w:val="24"/>
        </w:rPr>
        <w:t xml:space="preserve">akik a kompetenciamérés során gyengébben teljesítettek, </w:t>
      </w:r>
      <w:r w:rsidR="009335AA">
        <w:rPr>
          <w:rFonts w:ascii="Times New Roman" w:hAnsi="Times New Roman" w:cs="Times New Roman"/>
          <w:sz w:val="24"/>
          <w:szCs w:val="24"/>
        </w:rPr>
        <w:t>valamint</w:t>
      </w:r>
      <w:r>
        <w:rPr>
          <w:rFonts w:ascii="Times New Roman" w:hAnsi="Times New Roman" w:cs="Times New Roman"/>
          <w:sz w:val="24"/>
          <w:szCs w:val="24"/>
        </w:rPr>
        <w:t xml:space="preserve"> azokat, akiknek </w:t>
      </w:r>
      <w:r w:rsidR="00610CB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teljesítménye visszaesett. A lemaradóknak</w:t>
      </w:r>
      <w:r w:rsidR="00245D4F">
        <w:rPr>
          <w:rFonts w:ascii="Times New Roman" w:hAnsi="Times New Roman" w:cs="Times New Roman"/>
          <w:sz w:val="24"/>
          <w:szCs w:val="24"/>
        </w:rPr>
        <w:t xml:space="preserve">, </w:t>
      </w:r>
      <w:r w:rsidR="004B56A8">
        <w:rPr>
          <w:rFonts w:ascii="Times New Roman" w:hAnsi="Times New Roman" w:cs="Times New Roman"/>
          <w:sz w:val="24"/>
          <w:szCs w:val="24"/>
        </w:rPr>
        <w:t xml:space="preserve">az </w:t>
      </w:r>
      <w:r w:rsidR="00245D4F">
        <w:rPr>
          <w:rFonts w:ascii="Times New Roman" w:hAnsi="Times New Roman" w:cs="Times New Roman"/>
          <w:sz w:val="24"/>
          <w:szCs w:val="24"/>
        </w:rPr>
        <w:t xml:space="preserve">átlag alatt teljesítő </w:t>
      </w:r>
      <w:r w:rsidR="004B56A8">
        <w:rPr>
          <w:rFonts w:ascii="Times New Roman" w:hAnsi="Times New Roman" w:cs="Times New Roman"/>
          <w:sz w:val="24"/>
          <w:szCs w:val="24"/>
        </w:rPr>
        <w:t>8</w:t>
      </w:r>
      <w:r w:rsidR="00245D4F">
        <w:rPr>
          <w:rFonts w:ascii="Times New Roman" w:hAnsi="Times New Roman" w:cs="Times New Roman"/>
          <w:sz w:val="24"/>
          <w:szCs w:val="24"/>
        </w:rPr>
        <w:t xml:space="preserve">. évfolyamosoknak </w:t>
      </w:r>
      <w:r>
        <w:rPr>
          <w:rFonts w:ascii="Times New Roman" w:hAnsi="Times New Roman" w:cs="Times New Roman"/>
          <w:sz w:val="24"/>
          <w:szCs w:val="24"/>
        </w:rPr>
        <w:t xml:space="preserve">felzárkóztató foglalkozásokat szervezünk. </w:t>
      </w:r>
      <w:r w:rsidR="004B56A8">
        <w:rPr>
          <w:rFonts w:ascii="Times New Roman" w:hAnsi="Times New Roman" w:cs="Times New Roman"/>
          <w:sz w:val="24"/>
          <w:szCs w:val="24"/>
        </w:rPr>
        <w:t xml:space="preserve">A 10. évfolyam gyengén teljesítő tanulói számára érettségire felkészítő felzárkóztató foglalkozásokat szervezünk matematikából. </w:t>
      </w:r>
      <w:r w:rsidR="00044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804" w:rsidRDefault="00FF5804" w:rsidP="00AF5CF3">
      <w:pPr>
        <w:pStyle w:val="Listaszerbekezds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B56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évfolyam</w:t>
      </w:r>
      <w:r w:rsidR="004B56A8">
        <w:rPr>
          <w:rFonts w:ascii="Times New Roman" w:hAnsi="Times New Roman" w:cs="Times New Roman"/>
          <w:sz w:val="24"/>
          <w:szCs w:val="24"/>
        </w:rPr>
        <w:t>tól</w:t>
      </w:r>
      <w:r>
        <w:rPr>
          <w:rFonts w:ascii="Times New Roman" w:hAnsi="Times New Roman" w:cs="Times New Roman"/>
          <w:sz w:val="24"/>
          <w:szCs w:val="24"/>
        </w:rPr>
        <w:t xml:space="preserve"> nagyobb súlyt fektetünk a szövegértési képességek javítására</w:t>
      </w:r>
      <w:r w:rsidR="004B56A8">
        <w:rPr>
          <w:rFonts w:ascii="Times New Roman" w:hAnsi="Times New Roman" w:cs="Times New Roman"/>
          <w:sz w:val="24"/>
          <w:szCs w:val="24"/>
        </w:rPr>
        <w:t xml:space="preserve">. A szövegértésnek jelentős szerepe van a matematika feladatok értelmezésében, megoldásában is. Így a szövegértés </w:t>
      </w:r>
      <w:r w:rsidR="009335AA">
        <w:rPr>
          <w:rFonts w:ascii="Times New Roman" w:hAnsi="Times New Roman" w:cs="Times New Roman"/>
          <w:sz w:val="24"/>
          <w:szCs w:val="24"/>
        </w:rPr>
        <w:t xml:space="preserve">képességének </w:t>
      </w:r>
      <w:r w:rsidR="004B56A8">
        <w:rPr>
          <w:rFonts w:ascii="Times New Roman" w:hAnsi="Times New Roman" w:cs="Times New Roman"/>
          <w:sz w:val="24"/>
          <w:szCs w:val="24"/>
        </w:rPr>
        <w:t xml:space="preserve">fejlettsége </w:t>
      </w:r>
      <w:r w:rsidR="009335AA">
        <w:rPr>
          <w:rFonts w:ascii="Times New Roman" w:hAnsi="Times New Roman" w:cs="Times New Roman"/>
          <w:sz w:val="24"/>
          <w:szCs w:val="24"/>
        </w:rPr>
        <w:t>befolyásolja a matematika, sőt az összes többi tantárgy esetén is a tanulás eredményességét.</w:t>
      </w:r>
    </w:p>
    <w:p w:rsidR="009335AA" w:rsidRDefault="009335AA" w:rsidP="00AF5CF3">
      <w:pPr>
        <w:pStyle w:val="Listaszerbekezds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eddigieknél is fokozottabban törekszünk arra, hogy a tanulók és szülei</w:t>
      </w:r>
      <w:r w:rsidR="002B46B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is megértsék a kompetenciamérés fontosságát, jelentőségét az oktatási folyamatban. Osztályfőnöki, szaktárgyi órákon és szülői értekezleteken is az eddiginél nagyobb teret szentelünk a mérés eredményeinek értelmezésére, fontosságára. A tanmenetbe, az óratervekbe is több olyan elemet építünk be, amelyek elősegítik, hogy a kompetenciaméréseken továbbra is eredményesek, sőt ha lehet, még eredményesebbek lehessünk.</w:t>
      </w:r>
    </w:p>
    <w:p w:rsidR="00B10A02" w:rsidRPr="00825082" w:rsidRDefault="00B10A02" w:rsidP="00B10A02">
      <w:pPr>
        <w:pStyle w:val="Listaszerbekezds"/>
        <w:spacing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A75720" w:rsidRDefault="00A75720" w:rsidP="00825082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5720" w:rsidRDefault="00A75720" w:rsidP="00825082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Kecskemét, 201</w:t>
      </w:r>
      <w:r w:rsidR="008667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35AA">
        <w:rPr>
          <w:rFonts w:ascii="Times New Roman" w:hAnsi="Times New Roman" w:cs="Times New Roman"/>
          <w:sz w:val="24"/>
          <w:szCs w:val="24"/>
        </w:rPr>
        <w:t>július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335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75720" w:rsidSect="00D819A9">
      <w:headerReference w:type="default" r:id="rId11"/>
      <w:footerReference w:type="default" r:id="rId12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2E" w:rsidRDefault="00C0292E" w:rsidP="00CE2E95">
      <w:pPr>
        <w:spacing w:after="0" w:line="240" w:lineRule="auto"/>
      </w:pPr>
      <w:r>
        <w:separator/>
      </w:r>
    </w:p>
  </w:endnote>
  <w:endnote w:type="continuationSeparator" w:id="0">
    <w:p w:rsidR="00C0292E" w:rsidRDefault="00C0292E" w:rsidP="00CE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8327"/>
      <w:docPartObj>
        <w:docPartGallery w:val="Page Numbers (Bottom of Page)"/>
        <w:docPartUnique/>
      </w:docPartObj>
    </w:sdtPr>
    <w:sdtContent>
      <w:p w:rsidR="00CE2E95" w:rsidRDefault="00D561B1">
        <w:pPr>
          <w:pStyle w:val="llb"/>
          <w:jc w:val="center"/>
        </w:pPr>
        <w:r>
          <w:fldChar w:fldCharType="begin"/>
        </w:r>
        <w:r w:rsidR="005D1A13">
          <w:instrText xml:space="preserve"> PAGE   \* MERGEFORMAT </w:instrText>
        </w:r>
        <w:r>
          <w:fldChar w:fldCharType="separate"/>
        </w:r>
        <w:r w:rsidR="00CB50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2E95" w:rsidRDefault="00CE2E9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2E" w:rsidRDefault="00C0292E" w:rsidP="00CE2E95">
      <w:pPr>
        <w:spacing w:after="0" w:line="240" w:lineRule="auto"/>
      </w:pPr>
      <w:r>
        <w:separator/>
      </w:r>
    </w:p>
  </w:footnote>
  <w:footnote w:type="continuationSeparator" w:id="0">
    <w:p w:rsidR="00C0292E" w:rsidRDefault="00C0292E" w:rsidP="00CE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95" w:rsidRPr="00825082" w:rsidRDefault="00CE2E95" w:rsidP="00CE2E95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825082">
      <w:rPr>
        <w:rFonts w:ascii="Times New Roman" w:hAnsi="Times New Roman" w:cs="Times New Roman"/>
        <w:b/>
        <w:i/>
        <w:sz w:val="24"/>
        <w:szCs w:val="24"/>
      </w:rPr>
      <w:t>Kecskeméti Katona József Gimnázium</w:t>
    </w:r>
  </w:p>
  <w:p w:rsidR="00CE2E95" w:rsidRDefault="00CE2E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9D0"/>
    <w:multiLevelType w:val="hybridMultilevel"/>
    <w:tmpl w:val="433829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1E47"/>
    <w:multiLevelType w:val="hybridMultilevel"/>
    <w:tmpl w:val="7B48007A"/>
    <w:lvl w:ilvl="0" w:tplc="040E0017">
      <w:start w:val="1"/>
      <w:numFmt w:val="lowerLetter"/>
      <w:lvlText w:val="%1)"/>
      <w:lvlJc w:val="left"/>
      <w:pPr>
        <w:ind w:left="1484" w:hanging="360"/>
      </w:pPr>
    </w:lvl>
    <w:lvl w:ilvl="1" w:tplc="040E0019" w:tentative="1">
      <w:start w:val="1"/>
      <w:numFmt w:val="lowerLetter"/>
      <w:lvlText w:val="%2."/>
      <w:lvlJc w:val="left"/>
      <w:pPr>
        <w:ind w:left="2204" w:hanging="360"/>
      </w:pPr>
    </w:lvl>
    <w:lvl w:ilvl="2" w:tplc="040E001B" w:tentative="1">
      <w:start w:val="1"/>
      <w:numFmt w:val="lowerRoman"/>
      <w:lvlText w:val="%3."/>
      <w:lvlJc w:val="right"/>
      <w:pPr>
        <w:ind w:left="2924" w:hanging="180"/>
      </w:pPr>
    </w:lvl>
    <w:lvl w:ilvl="3" w:tplc="040E000F" w:tentative="1">
      <w:start w:val="1"/>
      <w:numFmt w:val="decimal"/>
      <w:lvlText w:val="%4."/>
      <w:lvlJc w:val="left"/>
      <w:pPr>
        <w:ind w:left="3644" w:hanging="360"/>
      </w:pPr>
    </w:lvl>
    <w:lvl w:ilvl="4" w:tplc="040E0019" w:tentative="1">
      <w:start w:val="1"/>
      <w:numFmt w:val="lowerLetter"/>
      <w:lvlText w:val="%5."/>
      <w:lvlJc w:val="left"/>
      <w:pPr>
        <w:ind w:left="4364" w:hanging="360"/>
      </w:pPr>
    </w:lvl>
    <w:lvl w:ilvl="5" w:tplc="040E001B" w:tentative="1">
      <w:start w:val="1"/>
      <w:numFmt w:val="lowerRoman"/>
      <w:lvlText w:val="%6."/>
      <w:lvlJc w:val="right"/>
      <w:pPr>
        <w:ind w:left="5084" w:hanging="180"/>
      </w:pPr>
    </w:lvl>
    <w:lvl w:ilvl="6" w:tplc="040E000F" w:tentative="1">
      <w:start w:val="1"/>
      <w:numFmt w:val="decimal"/>
      <w:lvlText w:val="%7."/>
      <w:lvlJc w:val="left"/>
      <w:pPr>
        <w:ind w:left="5804" w:hanging="360"/>
      </w:pPr>
    </w:lvl>
    <w:lvl w:ilvl="7" w:tplc="040E0019" w:tentative="1">
      <w:start w:val="1"/>
      <w:numFmt w:val="lowerLetter"/>
      <w:lvlText w:val="%8."/>
      <w:lvlJc w:val="left"/>
      <w:pPr>
        <w:ind w:left="6524" w:hanging="360"/>
      </w:pPr>
    </w:lvl>
    <w:lvl w:ilvl="8" w:tplc="040E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740B0B91"/>
    <w:multiLevelType w:val="hybridMultilevel"/>
    <w:tmpl w:val="BBBCD0E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81B"/>
    <w:rsid w:val="00000459"/>
    <w:rsid w:val="000007C6"/>
    <w:rsid w:val="00027D13"/>
    <w:rsid w:val="0004412D"/>
    <w:rsid w:val="00044802"/>
    <w:rsid w:val="000A4DBB"/>
    <w:rsid w:val="000C2893"/>
    <w:rsid w:val="0017438C"/>
    <w:rsid w:val="001765FE"/>
    <w:rsid w:val="0019011D"/>
    <w:rsid w:val="001A7059"/>
    <w:rsid w:val="001D5D7A"/>
    <w:rsid w:val="00201997"/>
    <w:rsid w:val="00245D4F"/>
    <w:rsid w:val="00254361"/>
    <w:rsid w:val="00277E6D"/>
    <w:rsid w:val="002B111D"/>
    <w:rsid w:val="002B46B9"/>
    <w:rsid w:val="003439E4"/>
    <w:rsid w:val="00344CE7"/>
    <w:rsid w:val="00363B46"/>
    <w:rsid w:val="00367691"/>
    <w:rsid w:val="00390F88"/>
    <w:rsid w:val="003C0B48"/>
    <w:rsid w:val="003F12E4"/>
    <w:rsid w:val="003F1433"/>
    <w:rsid w:val="00447677"/>
    <w:rsid w:val="004863ED"/>
    <w:rsid w:val="004B1AAE"/>
    <w:rsid w:val="004B56A8"/>
    <w:rsid w:val="004C4F00"/>
    <w:rsid w:val="00537B97"/>
    <w:rsid w:val="005532B1"/>
    <w:rsid w:val="005B7572"/>
    <w:rsid w:val="005D1A13"/>
    <w:rsid w:val="006058CC"/>
    <w:rsid w:val="00610CBC"/>
    <w:rsid w:val="00633931"/>
    <w:rsid w:val="006538DF"/>
    <w:rsid w:val="006E53DE"/>
    <w:rsid w:val="006E710F"/>
    <w:rsid w:val="006F4A6E"/>
    <w:rsid w:val="006F7379"/>
    <w:rsid w:val="00721B36"/>
    <w:rsid w:val="007275ED"/>
    <w:rsid w:val="00743D35"/>
    <w:rsid w:val="00751F7C"/>
    <w:rsid w:val="007821E0"/>
    <w:rsid w:val="00785501"/>
    <w:rsid w:val="007A4330"/>
    <w:rsid w:val="007B534A"/>
    <w:rsid w:val="007B77D1"/>
    <w:rsid w:val="007D2272"/>
    <w:rsid w:val="007E5BC9"/>
    <w:rsid w:val="00811CEA"/>
    <w:rsid w:val="008215CA"/>
    <w:rsid w:val="00825082"/>
    <w:rsid w:val="00832146"/>
    <w:rsid w:val="0085675E"/>
    <w:rsid w:val="0086554D"/>
    <w:rsid w:val="00866759"/>
    <w:rsid w:val="008700BC"/>
    <w:rsid w:val="00913008"/>
    <w:rsid w:val="00931A3D"/>
    <w:rsid w:val="009335AA"/>
    <w:rsid w:val="00954EA9"/>
    <w:rsid w:val="0097461A"/>
    <w:rsid w:val="00997EF0"/>
    <w:rsid w:val="009B66B2"/>
    <w:rsid w:val="009E2D77"/>
    <w:rsid w:val="00A05410"/>
    <w:rsid w:val="00A10170"/>
    <w:rsid w:val="00A32355"/>
    <w:rsid w:val="00A65A2A"/>
    <w:rsid w:val="00A75720"/>
    <w:rsid w:val="00AC1BE0"/>
    <w:rsid w:val="00AC6CF6"/>
    <w:rsid w:val="00AF5CF3"/>
    <w:rsid w:val="00B03993"/>
    <w:rsid w:val="00B10A02"/>
    <w:rsid w:val="00B23A5C"/>
    <w:rsid w:val="00B32F14"/>
    <w:rsid w:val="00B55AEE"/>
    <w:rsid w:val="00B85E43"/>
    <w:rsid w:val="00B92E5F"/>
    <w:rsid w:val="00B9310E"/>
    <w:rsid w:val="00BA0B0A"/>
    <w:rsid w:val="00BA3293"/>
    <w:rsid w:val="00C0292E"/>
    <w:rsid w:val="00C07E49"/>
    <w:rsid w:val="00C132E3"/>
    <w:rsid w:val="00C2081B"/>
    <w:rsid w:val="00C37BA6"/>
    <w:rsid w:val="00C53BB5"/>
    <w:rsid w:val="00C960DE"/>
    <w:rsid w:val="00CA434F"/>
    <w:rsid w:val="00CB50CD"/>
    <w:rsid w:val="00CC52C8"/>
    <w:rsid w:val="00CC61D6"/>
    <w:rsid w:val="00CD4740"/>
    <w:rsid w:val="00CE2E95"/>
    <w:rsid w:val="00D21672"/>
    <w:rsid w:val="00D23043"/>
    <w:rsid w:val="00D4317B"/>
    <w:rsid w:val="00D432F3"/>
    <w:rsid w:val="00D561B1"/>
    <w:rsid w:val="00D73D0D"/>
    <w:rsid w:val="00D77F86"/>
    <w:rsid w:val="00D819A9"/>
    <w:rsid w:val="00D956B4"/>
    <w:rsid w:val="00D95E19"/>
    <w:rsid w:val="00DA5A88"/>
    <w:rsid w:val="00DD6FA1"/>
    <w:rsid w:val="00DF2A58"/>
    <w:rsid w:val="00DF3017"/>
    <w:rsid w:val="00E020BB"/>
    <w:rsid w:val="00E31820"/>
    <w:rsid w:val="00E34B37"/>
    <w:rsid w:val="00E36D58"/>
    <w:rsid w:val="00E52205"/>
    <w:rsid w:val="00E86B96"/>
    <w:rsid w:val="00E91382"/>
    <w:rsid w:val="00EA1F20"/>
    <w:rsid w:val="00EA71FD"/>
    <w:rsid w:val="00F02DAD"/>
    <w:rsid w:val="00F22ADE"/>
    <w:rsid w:val="00F421D8"/>
    <w:rsid w:val="00F423DA"/>
    <w:rsid w:val="00F445D5"/>
    <w:rsid w:val="00F51E79"/>
    <w:rsid w:val="00F93690"/>
    <w:rsid w:val="00FD504B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3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081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7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5F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E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E2E95"/>
  </w:style>
  <w:style w:type="paragraph" w:styleId="llb">
    <w:name w:val="footer"/>
    <w:basedOn w:val="Norml"/>
    <w:link w:val="llbChar"/>
    <w:uiPriority w:val="99"/>
    <w:unhideWhenUsed/>
    <w:rsid w:val="00CE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E95"/>
  </w:style>
  <w:style w:type="table" w:styleId="Rcsostblzat">
    <w:name w:val="Table Grid"/>
    <w:basedOn w:val="Normltblzat"/>
    <w:uiPriority w:val="59"/>
    <w:rsid w:val="00BA0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munkalap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1"/>
          <c:order val="0"/>
          <c:tx>
            <c:strRef>
              <c:f>Munka1!$N$4</c:f>
              <c:strCache>
                <c:ptCount val="1"/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Lit>
              <c:formatCode>General</c:formatCode>
              <c:ptCount val="4"/>
              <c:pt idx="0">
                <c:v>2011</c:v>
              </c:pt>
              <c:pt idx="1">
                <c:v>2012</c:v>
              </c:pt>
              <c:pt idx="2">
                <c:v>2013</c:v>
              </c:pt>
              <c:pt idx="3">
                <c:v>2014</c:v>
              </c:pt>
            </c:numLit>
          </c:cat>
          <c:val>
            <c:numRef>
              <c:f>Munka1!$O$4:$R$4</c:f>
              <c:numCache>
                <c:formatCode>General</c:formatCode>
                <c:ptCount val="4"/>
              </c:numCache>
            </c:numRef>
          </c:val>
        </c:ser>
        <c:ser>
          <c:idx val="2"/>
          <c:order val="1"/>
          <c:tx>
            <c:strRef>
              <c:f>Munka1!$N$5</c:f>
              <c:strCache>
                <c:ptCount val="1"/>
                <c:pt idx="0">
                  <c:v>8. mat.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Lit>
              <c:formatCode>General</c:formatCode>
              <c:ptCount val="4"/>
              <c:pt idx="0">
                <c:v>2011</c:v>
              </c:pt>
              <c:pt idx="1">
                <c:v>2012</c:v>
              </c:pt>
              <c:pt idx="2">
                <c:v>2013</c:v>
              </c:pt>
              <c:pt idx="3">
                <c:v>2014</c:v>
              </c:pt>
            </c:numLit>
          </c:cat>
          <c:val>
            <c:numRef>
              <c:f>Munka1!$O$5:$R$5</c:f>
              <c:numCache>
                <c:formatCode>General</c:formatCode>
                <c:ptCount val="4"/>
                <c:pt idx="0">
                  <c:v>1797</c:v>
                </c:pt>
                <c:pt idx="1">
                  <c:v>1817</c:v>
                </c:pt>
                <c:pt idx="2">
                  <c:v>1814</c:v>
                </c:pt>
                <c:pt idx="3">
                  <c:v>1808</c:v>
                </c:pt>
              </c:numCache>
            </c:numRef>
          </c:val>
        </c:ser>
        <c:ser>
          <c:idx val="3"/>
          <c:order val="2"/>
          <c:tx>
            <c:strRef>
              <c:f>Munka1!$N$6</c:f>
              <c:strCache>
                <c:ptCount val="1"/>
                <c:pt idx="0">
                  <c:v>10. mat.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Lit>
              <c:formatCode>General</c:formatCode>
              <c:ptCount val="4"/>
              <c:pt idx="0">
                <c:v>2011</c:v>
              </c:pt>
              <c:pt idx="1">
                <c:v>2012</c:v>
              </c:pt>
              <c:pt idx="2">
                <c:v>2013</c:v>
              </c:pt>
              <c:pt idx="3">
                <c:v>2014</c:v>
              </c:pt>
            </c:numLit>
          </c:cat>
          <c:val>
            <c:numRef>
              <c:f>Munka1!$O$6:$R$6</c:f>
              <c:numCache>
                <c:formatCode>General</c:formatCode>
                <c:ptCount val="4"/>
                <c:pt idx="0">
                  <c:v>1840</c:v>
                </c:pt>
                <c:pt idx="1">
                  <c:v>1866</c:v>
                </c:pt>
                <c:pt idx="2">
                  <c:v>1836</c:v>
                </c:pt>
                <c:pt idx="3">
                  <c:v>1846</c:v>
                </c:pt>
              </c:numCache>
            </c:numRef>
          </c:val>
        </c:ser>
        <c:ser>
          <c:idx val="4"/>
          <c:order val="3"/>
          <c:tx>
            <c:strRef>
              <c:f>Munka1!$N$7</c:f>
              <c:strCache>
                <c:ptCount val="1"/>
                <c:pt idx="0">
                  <c:v>8. szöv.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Lit>
              <c:formatCode>General</c:formatCode>
              <c:ptCount val="4"/>
              <c:pt idx="0">
                <c:v>2011</c:v>
              </c:pt>
              <c:pt idx="1">
                <c:v>2012</c:v>
              </c:pt>
              <c:pt idx="2">
                <c:v>2013</c:v>
              </c:pt>
              <c:pt idx="3">
                <c:v>2014</c:v>
              </c:pt>
            </c:numLit>
          </c:cat>
          <c:val>
            <c:numRef>
              <c:f>Munka1!$O$7:$R$7</c:f>
              <c:numCache>
                <c:formatCode>General</c:formatCode>
                <c:ptCount val="4"/>
                <c:pt idx="0">
                  <c:v>1770</c:v>
                </c:pt>
                <c:pt idx="1">
                  <c:v>1755</c:v>
                </c:pt>
                <c:pt idx="2">
                  <c:v>1722</c:v>
                </c:pt>
                <c:pt idx="3">
                  <c:v>1732</c:v>
                </c:pt>
              </c:numCache>
            </c:numRef>
          </c:val>
        </c:ser>
        <c:ser>
          <c:idx val="5"/>
          <c:order val="4"/>
          <c:tx>
            <c:strRef>
              <c:f>Munka1!$N$8</c:f>
              <c:strCache>
                <c:ptCount val="1"/>
                <c:pt idx="0">
                  <c:v>10. szöv.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Lit>
              <c:formatCode>General</c:formatCode>
              <c:ptCount val="4"/>
              <c:pt idx="0">
                <c:v>2011</c:v>
              </c:pt>
              <c:pt idx="1">
                <c:v>2012</c:v>
              </c:pt>
              <c:pt idx="2">
                <c:v>2013</c:v>
              </c:pt>
              <c:pt idx="3">
                <c:v>2014</c:v>
              </c:pt>
            </c:numLit>
          </c:cat>
          <c:val>
            <c:numRef>
              <c:f>Munka1!$O$8:$R$8</c:f>
              <c:numCache>
                <c:formatCode>General</c:formatCode>
                <c:ptCount val="4"/>
                <c:pt idx="0">
                  <c:v>1810</c:v>
                </c:pt>
                <c:pt idx="1">
                  <c:v>1795</c:v>
                </c:pt>
                <c:pt idx="2">
                  <c:v>1825</c:v>
                </c:pt>
                <c:pt idx="3">
                  <c:v>1817</c:v>
                </c:pt>
              </c:numCache>
            </c:numRef>
          </c:val>
        </c:ser>
        <c:marker val="1"/>
        <c:axId val="141194368"/>
        <c:axId val="141196288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Munka1!$N$3</c15:sqref>
                        </c15:formulaRef>
                      </c:ext>
                    </c:extLst>
                    <c:strCache>
                      <c:ptCount val="1"/>
                      <c:pt idx="0">
                        <c:v>évfolyam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Lit>
                    <c:formatCode>General</c:formatCode>
                    <c:ptCount val="4"/>
                    <c:pt idx="0">
                      <c:v>2011</c:v>
                    </c:pt>
                    <c:pt idx="1">
                      <c:v>2012</c:v>
                    </c:pt>
                    <c:pt idx="2">
                      <c:v>2013</c:v>
                    </c:pt>
                    <c:pt idx="3">
                      <c:v>2014</c:v>
                    </c:pt>
                  </c:numLit>
                </c:cat>
                <c:val>
                  <c:numRef>
                    <c:extLst>
                      <c:ext uri="{02D57815-91ED-43cb-92C2-25804820EDAC}">
                        <c15:formulaRef>
                          <c15:sqref>Munka1!$O$3:$R$3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141194368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41196288"/>
        <c:crosses val="autoZero"/>
        <c:auto val="1"/>
        <c:lblAlgn val="ctr"/>
        <c:lblOffset val="100"/>
      </c:catAx>
      <c:valAx>
        <c:axId val="141196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4119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/>
      <c:lineChart>
        <c:grouping val="standard"/>
        <c:ser>
          <c:idx val="0"/>
          <c:order val="0"/>
          <c:tx>
            <c:strRef>
              <c:f>Munka1!$M$22</c:f>
              <c:strCache>
                <c:ptCount val="1"/>
                <c:pt idx="0">
                  <c:v>8. évfolyam  szöv. intézményi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Munka1!$N$21:$Q$21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Munka1!$N$22:$Q$22</c:f>
              <c:numCache>
                <c:formatCode>General</c:formatCode>
                <c:ptCount val="4"/>
                <c:pt idx="0">
                  <c:v>1770</c:v>
                </c:pt>
                <c:pt idx="1">
                  <c:v>1755</c:v>
                </c:pt>
                <c:pt idx="2">
                  <c:v>1722</c:v>
                </c:pt>
                <c:pt idx="3">
                  <c:v>1732</c:v>
                </c:pt>
              </c:numCache>
            </c:numRef>
          </c:val>
        </c:ser>
        <c:ser>
          <c:idx val="1"/>
          <c:order val="1"/>
          <c:tx>
            <c:strRef>
              <c:f>Munka1!$M$23</c:f>
              <c:strCache>
                <c:ptCount val="1"/>
                <c:pt idx="0">
                  <c:v>8. évfolyam szöv. országos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Munka1!$N$21:$Q$21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Munka1!$N$23:$Q$23</c:f>
              <c:numCache>
                <c:formatCode>General</c:formatCode>
                <c:ptCount val="4"/>
                <c:pt idx="0">
                  <c:v>1577</c:v>
                </c:pt>
                <c:pt idx="1">
                  <c:v>1567</c:v>
                </c:pt>
                <c:pt idx="2">
                  <c:v>1555</c:v>
                </c:pt>
                <c:pt idx="3">
                  <c:v>1557</c:v>
                </c:pt>
              </c:numCache>
            </c:numRef>
          </c:val>
        </c:ser>
        <c:marker val="1"/>
        <c:axId val="141505280"/>
        <c:axId val="141540736"/>
      </c:lineChart>
      <c:catAx>
        <c:axId val="1415052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41540736"/>
        <c:crosses val="autoZero"/>
        <c:auto val="1"/>
        <c:lblAlgn val="ctr"/>
        <c:lblOffset val="100"/>
      </c:catAx>
      <c:valAx>
        <c:axId val="1415407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4150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>
        <c:manualLayout>
          <c:layoutTarget val="inner"/>
          <c:xMode val="edge"/>
          <c:yMode val="edge"/>
          <c:x val="8.6266185476815402E-2"/>
          <c:y val="7.4548702245552642E-2"/>
          <c:w val="0.58412292213473316"/>
          <c:h val="0.8326195683872849"/>
        </c:manualLayout>
      </c:layout>
      <c:barChart>
        <c:barDir val="col"/>
        <c:grouping val="clustered"/>
        <c:ser>
          <c:idx val="0"/>
          <c:order val="0"/>
          <c:tx>
            <c:strRef>
              <c:f>Munka1!$K$3:$L$3</c:f>
              <c:strCache>
                <c:ptCount val="2"/>
                <c:pt idx="0">
                  <c:v>8. évf.</c:v>
                </c:pt>
                <c:pt idx="1">
                  <c:v>6 évf. gimn.</c:v>
                </c:pt>
              </c:strCache>
            </c:strRef>
          </c:tx>
          <c:cat>
            <c:numRef>
              <c:f>Munka1!$M$2:$P$2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Munka1!$M$3:$P$3</c:f>
              <c:numCache>
                <c:formatCode>General</c:formatCode>
                <c:ptCount val="4"/>
                <c:pt idx="0">
                  <c:v>1797</c:v>
                </c:pt>
                <c:pt idx="1">
                  <c:v>1817</c:v>
                </c:pt>
                <c:pt idx="2">
                  <c:v>1814</c:v>
                </c:pt>
                <c:pt idx="3">
                  <c:v>1808</c:v>
                </c:pt>
              </c:numCache>
            </c:numRef>
          </c:val>
        </c:ser>
        <c:ser>
          <c:idx val="1"/>
          <c:order val="1"/>
          <c:tx>
            <c:strRef>
              <c:f>Munka1!$K$4:$L$4</c:f>
              <c:strCache>
                <c:ptCount val="2"/>
                <c:pt idx="0">
                  <c:v>10. évf.</c:v>
                </c:pt>
                <c:pt idx="1">
                  <c:v>6 évf. gimn.</c:v>
                </c:pt>
              </c:strCache>
            </c:strRef>
          </c:tx>
          <c:cat>
            <c:numRef>
              <c:f>Munka1!$M$2:$P$2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Munka1!$M$4:$P$4</c:f>
              <c:numCache>
                <c:formatCode>General</c:formatCode>
                <c:ptCount val="4"/>
                <c:pt idx="0">
                  <c:v>1870</c:v>
                </c:pt>
                <c:pt idx="1">
                  <c:v>1866</c:v>
                </c:pt>
                <c:pt idx="2">
                  <c:v>1880</c:v>
                </c:pt>
                <c:pt idx="3">
                  <c:v>1894</c:v>
                </c:pt>
              </c:numCache>
            </c:numRef>
          </c:val>
        </c:ser>
        <c:ser>
          <c:idx val="2"/>
          <c:order val="2"/>
          <c:tx>
            <c:strRef>
              <c:f>Munka1!$K$5:$L$5</c:f>
              <c:strCache>
                <c:ptCount val="2"/>
                <c:pt idx="0">
                  <c:v>10. évf.</c:v>
                </c:pt>
                <c:pt idx="1">
                  <c:v>4 évf. gimn.</c:v>
                </c:pt>
              </c:strCache>
            </c:strRef>
          </c:tx>
          <c:cat>
            <c:numRef>
              <c:f>Munka1!$M$2:$P$2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Munka1!$M$5:$P$5</c:f>
              <c:numCache>
                <c:formatCode>General</c:formatCode>
                <c:ptCount val="4"/>
                <c:pt idx="0">
                  <c:v>1808</c:v>
                </c:pt>
                <c:pt idx="1">
                  <c:v>1867</c:v>
                </c:pt>
                <c:pt idx="2">
                  <c:v>1805</c:v>
                </c:pt>
                <c:pt idx="3">
                  <c:v>1808</c:v>
                </c:pt>
              </c:numCache>
            </c:numRef>
          </c:val>
        </c:ser>
        <c:axId val="141651968"/>
        <c:axId val="141653504"/>
      </c:barChart>
      <c:catAx>
        <c:axId val="141651968"/>
        <c:scaling>
          <c:orientation val="minMax"/>
        </c:scaling>
        <c:axPos val="b"/>
        <c:numFmt formatCode="General" sourceLinked="1"/>
        <c:tickLblPos val="nextTo"/>
        <c:crossAx val="141653504"/>
        <c:crosses val="autoZero"/>
        <c:auto val="1"/>
        <c:lblAlgn val="ctr"/>
        <c:lblOffset val="100"/>
      </c:catAx>
      <c:valAx>
        <c:axId val="141653504"/>
        <c:scaling>
          <c:orientation val="minMax"/>
        </c:scaling>
        <c:axPos val="l"/>
        <c:majorGridlines/>
        <c:numFmt formatCode="General" sourceLinked="1"/>
        <c:tickLblPos val="nextTo"/>
        <c:crossAx val="1416519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/>
      <c:barChart>
        <c:barDir val="col"/>
        <c:grouping val="clustered"/>
        <c:ser>
          <c:idx val="0"/>
          <c:order val="0"/>
          <c:tx>
            <c:strRef>
              <c:f>Munka1!$K$28:$L$28</c:f>
              <c:strCache>
                <c:ptCount val="2"/>
                <c:pt idx="0">
                  <c:v>8. évf.</c:v>
                </c:pt>
                <c:pt idx="1">
                  <c:v>6 évf. gimn.</c:v>
                </c:pt>
              </c:strCache>
            </c:strRef>
          </c:tx>
          <c:cat>
            <c:numRef>
              <c:f>Munka1!$M$27:$P$27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Munka1!$M$28:$P$28</c:f>
              <c:numCache>
                <c:formatCode>General</c:formatCode>
                <c:ptCount val="4"/>
                <c:pt idx="0">
                  <c:v>1770</c:v>
                </c:pt>
                <c:pt idx="1">
                  <c:v>1755</c:v>
                </c:pt>
                <c:pt idx="2">
                  <c:v>1722</c:v>
                </c:pt>
                <c:pt idx="3">
                  <c:v>1732</c:v>
                </c:pt>
              </c:numCache>
            </c:numRef>
          </c:val>
        </c:ser>
        <c:ser>
          <c:idx val="1"/>
          <c:order val="1"/>
          <c:tx>
            <c:strRef>
              <c:f>Munka1!$K$29:$L$29</c:f>
              <c:strCache>
                <c:ptCount val="2"/>
                <c:pt idx="0">
                  <c:v>10. évf.</c:v>
                </c:pt>
                <c:pt idx="1">
                  <c:v>6 évf. gimn.</c:v>
                </c:pt>
              </c:strCache>
            </c:strRef>
          </c:tx>
          <c:cat>
            <c:numRef>
              <c:f>Munka1!$M$27:$P$27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Munka1!$M$29:$P$29</c:f>
              <c:numCache>
                <c:formatCode>General</c:formatCode>
                <c:ptCount val="4"/>
                <c:pt idx="0">
                  <c:v>1797</c:v>
                </c:pt>
                <c:pt idx="1">
                  <c:v>1799</c:v>
                </c:pt>
                <c:pt idx="2">
                  <c:v>1835</c:v>
                </c:pt>
                <c:pt idx="3">
                  <c:v>1840</c:v>
                </c:pt>
              </c:numCache>
            </c:numRef>
          </c:val>
        </c:ser>
        <c:ser>
          <c:idx val="2"/>
          <c:order val="2"/>
          <c:tx>
            <c:strRef>
              <c:f>Munka1!$K$30:$L$30</c:f>
              <c:strCache>
                <c:ptCount val="2"/>
                <c:pt idx="0">
                  <c:v>10. évf.</c:v>
                </c:pt>
                <c:pt idx="1">
                  <c:v>4 évf. gimn.</c:v>
                </c:pt>
              </c:strCache>
            </c:strRef>
          </c:tx>
          <c:cat>
            <c:numRef>
              <c:f>Munka1!$M$27:$P$27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Munka1!$M$30:$P$30</c:f>
              <c:numCache>
                <c:formatCode>General</c:formatCode>
                <c:ptCount val="4"/>
                <c:pt idx="0">
                  <c:v>1824</c:v>
                </c:pt>
                <c:pt idx="1">
                  <c:v>1790</c:v>
                </c:pt>
                <c:pt idx="2">
                  <c:v>1817</c:v>
                </c:pt>
                <c:pt idx="3">
                  <c:v>1798</c:v>
                </c:pt>
              </c:numCache>
            </c:numRef>
          </c:val>
        </c:ser>
        <c:axId val="147183872"/>
        <c:axId val="147185664"/>
      </c:barChart>
      <c:catAx>
        <c:axId val="147183872"/>
        <c:scaling>
          <c:orientation val="minMax"/>
        </c:scaling>
        <c:axPos val="b"/>
        <c:numFmt formatCode="General" sourceLinked="1"/>
        <c:tickLblPos val="nextTo"/>
        <c:crossAx val="147185664"/>
        <c:crosses val="autoZero"/>
        <c:auto val="1"/>
        <c:lblAlgn val="ctr"/>
        <c:lblOffset val="100"/>
      </c:catAx>
      <c:valAx>
        <c:axId val="147185664"/>
        <c:scaling>
          <c:orientation val="minMax"/>
        </c:scaling>
        <c:axPos val="l"/>
        <c:majorGridlines/>
        <c:numFmt formatCode="General" sourceLinked="1"/>
        <c:tickLblPos val="nextTo"/>
        <c:crossAx val="1471838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1065</Words>
  <Characters>7349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</dc:creator>
  <cp:lastModifiedBy>szaboi</cp:lastModifiedBy>
  <cp:revision>3</cp:revision>
  <cp:lastPrinted>2015-09-07T09:43:00Z</cp:lastPrinted>
  <dcterms:created xsi:type="dcterms:W3CDTF">2015-07-22T06:35:00Z</dcterms:created>
  <dcterms:modified xsi:type="dcterms:W3CDTF">2015-09-07T09:54:00Z</dcterms:modified>
</cp:coreProperties>
</file>